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September 28, 2025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 xml:space="preserve">HASBRO,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337" w:type="dxa"/>
        <w:jc w:val="center"/>
        <w:tblInd w:w="0" w:type="dxa"/>
        <w:tblLayout w:type="fixed"/>
        <w:tblCellMar>
          <w:top w:w="28" w:type="dxa"/>
          <w:left w:w="28" w:type="dxa"/>
          <w:bottom w:w="28" w:type="dxa"/>
          <w:right w:w="28" w:type="dxa"/>
        </w:tblCellMar>
      </w:tblPr>
      <w:tblGrid>
        <w:gridCol w:w="949"/>
        <w:gridCol w:w="835"/>
        <w:gridCol w:w="835"/>
        <w:gridCol w:w="835"/>
        <w:gridCol w:w="835"/>
        <w:gridCol w:w="854"/>
        <w:gridCol w:w="932"/>
        <w:gridCol w:w="932"/>
        <w:gridCol w:w="1330"/>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3194" w:type="dxa"/>
            <w:gridSpan w:val="3"/>
            <w:tcBorders/>
            <w:tcMar>
              <w:top w:w="0" w:type="dxa"/>
              <w:left w:w="0" w:type="dxa"/>
              <w:bottom w:w="0" w:type="dxa"/>
              <w:right w:w="0" w:type="dxa"/>
            </w:tcMar>
            <w:vAlign w:val="center"/>
          </w:tcPr>
          <w:p>
            <w:pPr>
              <w:pStyle w:val="TableContents"/>
              <w:bidi w:val="0"/>
              <w:spacing w:before="0" w:after="20"/>
              <w:jc w:val="center"/>
              <w:rPr/>
            </w:pPr>
            <w:r>
              <w:rPr/>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25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(401) 431-8697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63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702" w:type="dxa"/>
        <w:jc w:val="center"/>
        <w:tblInd w:w="0" w:type="dxa"/>
        <w:tblLayout w:type="fixed"/>
        <w:tblCellMar>
          <w:top w:w="28" w:type="dxa"/>
          <w:left w:w="28" w:type="dxa"/>
          <w:bottom w:w="28" w:type="dxa"/>
          <w:right w:w="28" w:type="dxa"/>
        </w:tblCellMar>
      </w:tblPr>
      <w:tblGrid>
        <w:gridCol w:w="1449"/>
        <w:gridCol w:w="1271"/>
        <w:gridCol w:w="1284"/>
        <w:gridCol w:w="564"/>
        <w:gridCol w:w="564"/>
        <w:gridCol w:w="566"/>
        <w:gridCol w:w="1170"/>
        <w:gridCol w:w="1170"/>
        <w:gridCol w:w="166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4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4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[x]</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The number of shares of Common Stock, par value $.50 per share, outstanding as of October 31, 2025 was 140,337,023.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10-Q</w:t>
      </w:r>
    </w:p>
    <w:p>
      <w:pPr>
        <w:pStyle w:val="TextBody"/>
        <w:bidi w:val="0"/>
        <w:spacing w:lineRule="auto" w:line="288" w:before="0" w:after="0"/>
        <w:jc w:val="center"/>
        <w:rPr/>
      </w:pPr>
      <w:r>
        <w:rPr>
          <w:rFonts w:ascii="Arial;sans-serif" w:hAnsi="Arial;sans-serif"/>
          <w:b/>
          <w:color w:val="212529"/>
          <w:sz w:val="20"/>
        </w:rPr>
        <w:t>For the Quarter Ended September 28, 2025</w:t>
      </w:r>
      <w:r>
        <w:rPr>
          <w:color w:val="000000"/>
        </w:rPr>
        <w:t xml:space="preserve"> </w:t>
      </w:r>
    </w:p>
    <w:tbl>
      <w:tblPr>
        <w:tblW w:w="9252" w:type="dxa"/>
        <w:jc w:val="left"/>
        <w:tblInd w:w="0" w:type="dxa"/>
        <w:tblLayout w:type="fixed"/>
        <w:tblCellMar>
          <w:top w:w="28" w:type="dxa"/>
          <w:left w:w="28" w:type="dxa"/>
          <w:bottom w:w="28" w:type="dxa"/>
          <w:right w:w="28" w:type="dxa"/>
        </w:tblCellMar>
      </w:tblPr>
      <w:tblGrid>
        <w:gridCol w:w="399"/>
        <w:gridCol w:w="324"/>
        <w:gridCol w:w="328"/>
        <w:gridCol w:w="2607"/>
        <w:gridCol w:w="2607"/>
        <w:gridCol w:w="2615"/>
        <w:gridCol w:w="109"/>
        <w:gridCol w:w="109"/>
        <w:gridCol w:w="154"/>
      </w:tblGrid>
      <w:tr>
        <w:trPr/>
        <w:tc>
          <w:tcPr>
            <w:tcW w:w="3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
              <w:r>
                <w:rPr>
                  <w:rStyle w:val="InternetLink"/>
                  <w:rFonts w:ascii="Arial;sans-serif" w:hAnsi="Arial;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6">
              <w:r>
                <w:rPr>
                  <w:rStyle w:val="InternetLink"/>
                  <w:rFonts w:ascii="Arial;sans-serif" w:hAnsi="Arial;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6">
              <w:r>
                <w:rPr>
                  <w:rStyle w:val="InternetLink"/>
                  <w:rFonts w:ascii="Arial;sans-serif" w:hAnsi="Arial;sans-serif"/>
                  <w:b w:val="false"/>
                  <w:color w:val="0000FF"/>
                  <w:sz w:val="20"/>
                  <w:u w:val="single"/>
                </w:rPr>
                <w:t>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9">
              <w:r>
                <w:rPr>
                  <w:rStyle w:val="InternetLink"/>
                  <w:rFonts w:ascii="Arial;sans-serif" w:hAnsi="Arial;sans-serif"/>
                  <w:b w:val="false"/>
                  <w:color w:val="0000FF"/>
                  <w:sz w:val="20"/>
                  <w:u w:val="single"/>
                </w:rPr>
                <w:t>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9">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2">
              <w:r>
                <w:rPr>
                  <w:rStyle w:val="InternetLink"/>
                  <w:rFonts w:ascii="Arial;sans-serif" w:hAnsi="Arial;sans-serif"/>
                  <w:b w:val="false"/>
                  <w:color w:val="0000FF"/>
                  <w:sz w:val="20"/>
                  <w:u w:val="single"/>
                </w:rPr>
                <w:t>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2">
              <w:r>
                <w:rPr>
                  <w:rStyle w:val="InternetLink"/>
                  <w:rFonts w:ascii="Arial;sans-serif" w:hAnsi="Arial;sans-serif"/>
                  <w:b w:val="false"/>
                  <w:color w:val="0000FF"/>
                  <w:sz w:val="20"/>
                  <w:u w:val="single"/>
                </w:rPr>
                <w:t>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5">
              <w:r>
                <w:rPr>
                  <w:rStyle w:val="InternetLink"/>
                  <w:rFonts w:ascii="Arial;sans-serif" w:hAnsi="Arial;sans-serif"/>
                  <w:b w:val="false"/>
                  <w:color w:val="0000FF"/>
                  <w:sz w:val="20"/>
                  <w:u w:val="single"/>
                </w:rPr>
                <w:t>Consolidated Statements of Comprehensive Earnings (Loss)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5">
              <w:r>
                <w:rPr>
                  <w:rStyle w:val="InternetLink"/>
                  <w:rFonts w:ascii="Arial;sans-serif" w:hAnsi="Arial;sans-serif"/>
                  <w:b w:val="false"/>
                  <w:color w:val="0000FF"/>
                  <w:sz w:val="20"/>
                  <w:u w:val="single"/>
                </w:rPr>
                <w:t>7</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8">
              <w:r>
                <w:rPr>
                  <w:rStyle w:val="InternetLink"/>
                  <w:rFonts w:ascii="Arial;sans-serif" w:hAnsi="Arial;sans-serif"/>
                  <w:b w:val="false"/>
                  <w:color w:val="0000FF"/>
                  <w:sz w:val="20"/>
                  <w:u w:val="singl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28">
              <w:r>
                <w:rPr>
                  <w:rStyle w:val="InternetLink"/>
                  <w:rFonts w:ascii="Arial;sans-serif" w:hAnsi="Arial;sans-serif"/>
                  <w:b w:val="false"/>
                  <w:color w:val="0000FF"/>
                  <w:sz w:val="20"/>
                  <w:u w:val="single"/>
                </w:rPr>
                <w:t>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31">
              <w:r>
                <w:rPr>
                  <w:rStyle w:val="InternetLink"/>
                  <w:rFonts w:ascii="Arial;sans-serif" w:hAnsi="Arial;sans-serif"/>
                  <w:b w:val="false"/>
                  <w:color w:val="0000FF"/>
                  <w:sz w:val="20"/>
                  <w:u w:val="single"/>
                </w:rPr>
                <w:t>Consolidated Statements of Shareholders'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31">
              <w:r>
                <w:rPr>
                  <w:rStyle w:val="InternetLink"/>
                  <w:rFonts w:ascii="Arial;sans-serif" w:hAnsi="Arial;sans-serif"/>
                  <w:b w:val="false"/>
                  <w:color w:val="0000FF"/>
                  <w:sz w:val="20"/>
                  <w:u w:val="single"/>
                </w:rPr>
                <w:t>9</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pPr>
            <w:hyperlink w:anchor="i0a7664fc1d894630a8ec9975b321b632_34">
              <w:r>
                <w:rPr>
                  <w:rStyle w:val="InternetLink"/>
                  <w:rFonts w:ascii="Arial;sans-serif" w:hAnsi="Arial;sans-serif"/>
                  <w:b w:val="false"/>
                  <w:color w:val="0000FF"/>
                  <w:sz w:val="20"/>
                  <w:u w:val="single"/>
                </w:rPr>
                <w:t>Condensed 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34">
              <w:r>
                <w:rPr>
                  <w:rStyle w:val="InternetLink"/>
                  <w:rFonts w:ascii="Arial;sans-serif" w:hAnsi="Arial;sans-serif"/>
                  <w:b w:val="false"/>
                  <w:color w:val="0000FF"/>
                  <w:sz w:val="20"/>
                  <w:u w:val="single"/>
                </w:rPr>
                <w:t>11</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85">
              <w:r>
                <w:rPr>
                  <w:rStyle w:val="InternetLink"/>
                  <w:rFonts w:ascii="Arial;sans-serif" w:hAnsi="Arial;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85">
              <w:r>
                <w:rPr>
                  <w:rStyle w:val="InternetLink"/>
                  <w:rFonts w:ascii="Arial;sans-serif" w:hAnsi="Arial;sans-serif"/>
                  <w:b w:val="false"/>
                  <w:color w:val="0000FF"/>
                  <w:sz w:val="20"/>
                  <w:u w:val="single"/>
                </w:rPr>
                <w:t>29</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0a7664fc1d894630a8ec9975b321b632_115">
              <w:r>
                <w:rPr>
                  <w:rStyle w:val="InternetLink"/>
                  <w:rFonts w:ascii="Arial;sans-serif" w:hAnsi="Arial;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15">
              <w:r>
                <w:rPr>
                  <w:rStyle w:val="InternetLink"/>
                  <w:rFonts w:ascii="Arial;sans-serif" w:hAnsi="Arial;sans-serif"/>
                  <w:b w:val="false"/>
                  <w:color w:val="0000FF"/>
                  <w:sz w:val="20"/>
                  <w:u w:val="single"/>
                </w:rPr>
                <w:t>43</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18">
              <w:r>
                <w:rPr>
                  <w:rStyle w:val="InternetLink"/>
                  <w:rFonts w:ascii="Arial;sans-serif" w:hAnsi="Arial;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18">
              <w:r>
                <w:rPr>
                  <w:rStyle w:val="InternetLink"/>
                  <w:rFonts w:ascii="Arial;sans-serif" w:hAnsi="Arial;sans-serif"/>
                  <w:b w:val="false"/>
                  <w:color w:val="0000FF"/>
                  <w:sz w:val="20"/>
                  <w:u w:val="single"/>
                </w:rPr>
                <w:t>43</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1">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1">
              <w:r>
                <w:rPr>
                  <w:rStyle w:val="InternetLink"/>
                  <w:rFonts w:ascii="Arial;sans-serif" w:hAnsi="Arial;sans-serif"/>
                  <w:b w:val="false"/>
                  <w:color w:val="0000FF"/>
                  <w:sz w:val="20"/>
                  <w:u w:val="single"/>
                </w:rPr>
                <w:t>45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4">
              <w:r>
                <w:rPr>
                  <w:rStyle w:val="InternetLink"/>
                  <w:rFonts w:ascii="Arial;sans-serif" w:hAnsi="Arial;sans-serif"/>
                  <w:b w:val="false"/>
                  <w:color w:val="0000FF"/>
                  <w:sz w:val="20"/>
                  <w:u w:val="single"/>
                </w:rPr>
                <w:t>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4">
              <w:r>
                <w:rPr>
                  <w:rStyle w:val="InternetLink"/>
                  <w:rFonts w:ascii="Arial;sans-serif" w:hAnsi="Arial;sans-serif"/>
                  <w:b w:val="false"/>
                  <w:color w:val="0000FF"/>
                  <w:sz w:val="20"/>
                  <w:u w:val="single"/>
                </w:rPr>
                <w:t>45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7">
              <w:r>
                <w:rPr>
                  <w:rStyle w:val="InternetLink"/>
                  <w:rFonts w:ascii="Arial;sans-serif" w:hAnsi="Arial;sans-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27">
              <w:r>
                <w:rPr>
                  <w:rStyle w:val="InternetLink"/>
                  <w:rFonts w:ascii="Arial;sans-serif" w:hAnsi="Arial;sans-serif"/>
                  <w:b w:val="false"/>
                  <w:color w:val="0000FF"/>
                  <w:sz w:val="20"/>
                  <w:u w:val="single"/>
                </w:rPr>
                <w:t>45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0">
              <w:r>
                <w:rPr>
                  <w:rStyle w:val="InternetLink"/>
                  <w:rFonts w:ascii="Arial;sans-serif" w:hAnsi="Arial;sans-serif"/>
                  <w:b w:val="false"/>
                  <w:color w:val="0000FF"/>
                  <w:sz w:val="20"/>
                  <w:u w:val="single"/>
                </w:rPr>
                <w:t>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0">
              <w:r>
                <w:rPr>
                  <w:rStyle w:val="InternetLink"/>
                  <w:rFonts w:ascii="Arial;sans-serif" w:hAnsi="Arial;sans-serif"/>
                  <w:b w:val="false"/>
                  <w:color w:val="0000FF"/>
                  <w:sz w:val="20"/>
                  <w:u w:val="single"/>
                </w:rPr>
                <w:t>45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3">
              <w:r>
                <w:rPr>
                  <w:rStyle w:val="InternetLink"/>
                  <w:rFonts w:ascii="Arial;sans-serif" w:hAnsi="Arial;sans-serif"/>
                  <w:b w:val="false"/>
                  <w:color w:val="0000FF"/>
                  <w:sz w:val="20"/>
                  <w:u w:val="single"/>
                </w:rPr>
                <w:t>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3">
              <w:r>
                <w:rPr>
                  <w:rStyle w:val="InternetLink"/>
                  <w:rFonts w:ascii="Arial;sans-serif" w:hAnsi="Arial;sans-serif"/>
                  <w:b w:val="false"/>
                  <w:color w:val="0000FF"/>
                  <w:sz w:val="20"/>
                  <w:u w:val="single"/>
                </w:rPr>
                <w:t>45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6">
              <w:r>
                <w:rPr>
                  <w:rStyle w:val="InternetLink"/>
                  <w:rFonts w:ascii="Arial;sans-serif" w:hAnsi="Arial;sans-serif"/>
                  <w:b w:val="false"/>
                  <w:color w:val="0000FF"/>
                  <w:sz w:val="20"/>
                  <w:u w:val="single"/>
                </w:rPr>
                <w:t>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6">
              <w:r>
                <w:rPr>
                  <w:rStyle w:val="InternetLink"/>
                  <w:rFonts w:ascii="Arial;sans-serif" w:hAnsi="Arial;sans-serif"/>
                  <w:b w:val="false"/>
                  <w:color w:val="0000FF"/>
                  <w:sz w:val="20"/>
                  <w:u w:val="single"/>
                </w:rPr>
                <w:t>45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9">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39">
              <w:r>
                <w:rPr>
                  <w:rStyle w:val="InternetLink"/>
                  <w:rFonts w:ascii="Arial;sans-serif" w:hAnsi="Arial;sans-serif"/>
                  <w:b w:val="false"/>
                  <w:color w:val="0000FF"/>
                  <w:sz w:val="20"/>
                  <w:u w:val="single"/>
                </w:rPr>
                <w:t>45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42">
              <w:r>
                <w:rPr>
                  <w:rStyle w:val="InternetLink"/>
                  <w:rFonts w:ascii="Arial;sans-serif" w:hAnsi="Arial;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42">
              <w:r>
                <w:rPr>
                  <w:rStyle w:val="InternetLink"/>
                  <w:rFonts w:ascii="Arial;sans-serif" w:hAnsi="Arial;sans-serif"/>
                  <w:b w:val="false"/>
                  <w:color w:val="0000FF"/>
                  <w:sz w:val="20"/>
                  <w:u w:val="single"/>
                </w:rPr>
                <w:t>46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45">
              <w:r>
                <w:rPr>
                  <w:rStyle w:val="InternetLink"/>
                  <w:rFonts w:ascii="Arial;sans-serif" w:hAnsi="Arial;sans-serif"/>
                  <w:b w:val="false"/>
                  <w:color w:val="0000FF"/>
                  <w:sz w:val="20"/>
                  <w:u w:val="single"/>
                </w:rPr>
                <w:t>Signatures</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7664fc1d894630a8ec9975b321b632_145">
              <w:r>
                <w:rPr>
                  <w:rStyle w:val="InternetLink"/>
                  <w:rFonts w:ascii="Arial;sans-serif" w:hAnsi="Arial;sans-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212529"/>
          <w:sz w:val="20"/>
        </w:rPr>
      </w:pPr>
      <w:r>
        <w:rPr>
          <w:rFonts w:ascii="Arial;sans-serif" w:hAnsi="Arial;sans-serif"/>
          <w:b/>
          <w:color w:val="212529"/>
          <w:sz w:val="20"/>
        </w:rPr>
        <w:t>Special Note Regarding 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expected impact of tariffs; anticipated benefits and potential impact of moving our Rhode Island operations to Boston, Massachusetts; expected impact of newly issued accounting pronouncements and tax legislation; financial targets; and expectations for our future performance. Our actual actions or results may differ materially from those expected or anticipated in the forward-looking statements due to both known and unknown risks and uncertainties.</w:t>
      </w:r>
    </w:p>
    <w:p>
      <w:pPr>
        <w:pStyle w:val="TextBody"/>
        <w:bidi w:val="0"/>
        <w:spacing w:lineRule="auto" w:line="288" w:before="120" w:after="283"/>
        <w:jc w:val="left"/>
        <w:rPr>
          <w:rFonts w:ascii="Arial;sans-serif" w:hAnsi="Arial;sans-serif"/>
          <w:b w:val="false"/>
          <w:color w:val="212529"/>
          <w:sz w:val="20"/>
        </w:rPr>
      </w:pPr>
      <w:r>
        <w:rPr>
          <w:rFonts w:ascii="Arial;sans-serif" w:hAnsi="Arial;sans-serif"/>
          <w:b w:val="false"/>
          <w:color w:val="212529"/>
          <w:sz w:val="20"/>
        </w:rPr>
        <w:t>Factors that might cause such a difference include, but are not limited to: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our ability to successfully implement and execute on our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business strategy;</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successfully compete in the play industry and further develop our digital gaming, licensing and consumer products businesses and partnerships;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continually introduce new and innovative products that are accepted by consumers, particularly for brands such as MAGIC: THE GATHERING in which we have seen an increasing concentration of our sales;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risks associated with the imposition, threat, or uncertainty of tariffs, including the impact of reciprocal or retaliatory tariffs, in markets in which we operate which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risks associated with international operations, such as: the imposition or threat of tariffs; conflict in territories in which we operate or which affect areas in which operate; currency conversion; currency fluctuations; quotas; shipping delays or difficulties; border adjustment taxes or other protectionist measures; and other challenges in the territories in which we operate;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uncertain and unpredictable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ethical concerns, evolving regulatory standards, implementation challenges, and third-party dependencies on such technologies;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design, develop, manufacture, and ship products on a timely, cost-effective and profitable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dependence on third-party relationships, including with third-party partners, manufacturers, distributors, studios, content producers, licensors, licensees, and outsourcers, which creates reliance on others and loss of control;</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attract and retain talented and diverse employees;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our ability to realize the benefits of cost-savings and efficiency and/or revenue and operating profit enhancing initiatives;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risks relating to the impairment and/or write-offs related to businesses, products and/or content we acquire and/or produce;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risk that acquisitions, dispositions and other investments we complete may not provide us with the benefits we expect, or the realization of such benefits may be significantly delayed or reduced;</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risk or disruption to our business or ability to protect our assets and intellectual property, including as a result of infringement, theft, misappropriation, cyber-attacks or other acts compromising the integrity of our assets or intellectual property or systems;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fluctuations in our business due to seasonality;</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risk of product recalls or product liability suits and costs associated with product safety regulations;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impact of litigation or arbitration decisions or settlement actions;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the bankruptcy or other lack of success of one or more of our significant retailers, licensees and other partners; and</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other risks and uncertainties as may be detailed in our public announcements and U.S. Securities and Exchange Commission (“SEC”) filings.</w:t>
      </w:r>
    </w:p>
    <w:p>
      <w:pPr>
        <w:pStyle w:val="TextBody"/>
        <w:bidi w:val="0"/>
        <w:spacing w:lineRule="auto" w:line="288" w:before="120" w:after="283"/>
        <w:jc w:val="left"/>
        <w:rPr/>
      </w:pPr>
      <w:r>
        <w:rPr>
          <w:rFonts w:ascii="Arial;sans-serif" w:hAnsi="Arial;sans-serif"/>
          <w:b w:val="false"/>
          <w:color w:val="212529"/>
          <w:sz w:val="20"/>
        </w:rPr>
        <w:t xml:space="preserve">For a detailed discussion of these and other risks, uncertainties and factors, see Part I, Item 1A “Risk Factors” of our Annual Report on Form 10-K for the fiscal year ended </w:t>
      </w:r>
      <w:r>
        <w:rPr>
          <w:rFonts w:ascii="Arial;sans-serif" w:hAnsi="Arial;sans-serif"/>
          <w:b w:val="false"/>
          <w:color w:val="000000"/>
          <w:sz w:val="20"/>
        </w:rPr>
        <w:t>December 29, 2024</w:t>
      </w:r>
      <w:r>
        <w:rPr>
          <w:color w:val="212529"/>
        </w:rPr>
        <w:t xml:space="preserve"> </w:t>
      </w:r>
      <w:r>
        <w:rPr>
          <w:rFonts w:ascii="Arial;sans-serif" w:hAnsi="Arial;sans-serif"/>
          <w:b w:val="false"/>
          <w:color w:val="212529"/>
          <w:sz w:val="20"/>
        </w:rPr>
        <w:t>(the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Annual Report”).</w:t>
      </w:r>
    </w:p>
    <w:p>
      <w:pPr>
        <w:pStyle w:val="TextBody"/>
        <w:bidi w:val="0"/>
        <w:spacing w:lineRule="auto" w:line="288" w:before="120" w:after="283"/>
        <w:jc w:val="left"/>
        <w:rPr>
          <w:rFonts w:ascii="Arial;sans-serif" w:hAnsi="Arial;sans-serif"/>
          <w:b w:val="false"/>
          <w:color w:val="212529"/>
          <w:sz w:val="20"/>
        </w:rPr>
      </w:pPr>
      <w:r>
        <w:rPr>
          <w:rFonts w:ascii="Arial;sans-serif" w:hAnsi="Arial;sans-serif"/>
          <w:b w:val="false"/>
          <w:color w:val="212529"/>
          <w:sz w:val="20"/>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45"/>
        <w:gridCol w:w="1797"/>
        <w:gridCol w:w="1736"/>
        <w:gridCol w:w="229"/>
        <w:gridCol w:w="833"/>
        <w:gridCol w:w="118"/>
        <w:gridCol w:w="109"/>
        <w:gridCol w:w="109"/>
        <w:gridCol w:w="109"/>
        <w:gridCol w:w="229"/>
        <w:gridCol w:w="833"/>
        <w:gridCol w:w="118"/>
        <w:gridCol w:w="109"/>
        <w:gridCol w:w="109"/>
        <w:gridCol w:w="109"/>
        <w:gridCol w:w="225"/>
        <w:gridCol w:w="819"/>
        <w:gridCol w:w="169"/>
      </w:tblGrid>
      <w:tr>
        <w:trPr/>
        <w:tc>
          <w:tcPr>
            <w:tcW w:w="244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including restricted cash of $0.3, $0.3 and $0.3</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net of accumulated depreciation of $1,075.8, $1,100.8 and $1,026.7</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 (Note 5)</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$476.1, $1,350.5 and $421.2</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 NONCONTROLLING INTERESTS AND SHAREHOLDERS' EQUITY</w:t>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Preference stock of $2.50 par value. Authorized 5,000,000 shares; none issued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of $0.50 par value. Authorized 600,000,000 shares; issued 220,286,736 shares at September 28, 2025, September 29, 2024, and December 29, 2024</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79,963,865 shares at September 28, 2025; 80,798,468 shares at September 29, 2024; and 80,758,045 shares at December 29, 2024</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50"/>
        <w:gridCol w:w="1228"/>
        <w:gridCol w:w="1231"/>
        <w:gridCol w:w="255"/>
        <w:gridCol w:w="929"/>
        <w:gridCol w:w="131"/>
        <w:gridCol w:w="109"/>
        <w:gridCol w:w="109"/>
        <w:gridCol w:w="109"/>
        <w:gridCol w:w="255"/>
        <w:gridCol w:w="929"/>
        <w:gridCol w:w="131"/>
        <w:gridCol w:w="109"/>
        <w:gridCol w:w="109"/>
        <w:gridCol w:w="109"/>
        <w:gridCol w:w="255"/>
        <w:gridCol w:w="929"/>
        <w:gridCol w:w="131"/>
        <w:gridCol w:w="109"/>
        <w:gridCol w:w="109"/>
        <w:gridCol w:w="109"/>
        <w:gridCol w:w="254"/>
        <w:gridCol w:w="923"/>
        <w:gridCol w:w="193"/>
      </w:tblGrid>
      <w:tr>
        <w:trPr/>
        <w:tc>
          <w:tcPr>
            <w:tcW w:w="145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Impairment of goodwill (Note 5)</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Non-operating expense:</w:t>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common share</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30" w:after="1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84"/>
        <w:gridCol w:w="1351"/>
        <w:gridCol w:w="1269"/>
        <w:gridCol w:w="279"/>
        <w:gridCol w:w="817"/>
        <w:gridCol w:w="146"/>
        <w:gridCol w:w="109"/>
        <w:gridCol w:w="109"/>
        <w:gridCol w:w="109"/>
        <w:gridCol w:w="279"/>
        <w:gridCol w:w="817"/>
        <w:gridCol w:w="146"/>
        <w:gridCol w:w="109"/>
        <w:gridCol w:w="109"/>
        <w:gridCol w:w="109"/>
        <w:gridCol w:w="275"/>
        <w:gridCol w:w="824"/>
        <w:gridCol w:w="142"/>
        <w:gridCol w:w="109"/>
        <w:gridCol w:w="109"/>
        <w:gridCol w:w="109"/>
        <w:gridCol w:w="276"/>
        <w:gridCol w:w="809"/>
        <w:gridCol w:w="210"/>
      </w:tblGrid>
      <w:tr>
        <w:trPr/>
        <w:tc>
          <w:tcPr>
            <w:tcW w:w="158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gains (losses) on hedging activities, net of tax</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net of tax:</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losses (gains) on hedging activities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unrecognized pension and postretirement amounts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earnings (loss), net of tax</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attributable to noncontrolling interests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(loss) attributable to Hasbro, Inc.</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rPr>
        <w:t>See accompanying condensed notes to consolidated financial statements.    </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115" w:type="dxa"/>
        <w:jc w:val="center"/>
        <w:tblInd w:w="0" w:type="dxa"/>
        <w:tblLayout w:type="fixed"/>
        <w:tblCellMar>
          <w:top w:w="28" w:type="dxa"/>
          <w:left w:w="28" w:type="dxa"/>
          <w:bottom w:w="28" w:type="dxa"/>
          <w:right w:w="28" w:type="dxa"/>
        </w:tblCellMar>
      </w:tblPr>
      <w:tblGrid>
        <w:gridCol w:w="2190"/>
        <w:gridCol w:w="1924"/>
        <w:gridCol w:w="1930"/>
        <w:gridCol w:w="302"/>
        <w:gridCol w:w="880"/>
        <w:gridCol w:w="168"/>
        <w:gridCol w:w="109"/>
        <w:gridCol w:w="109"/>
        <w:gridCol w:w="109"/>
        <w:gridCol w:w="301"/>
        <w:gridCol w:w="855"/>
        <w:gridCol w:w="238"/>
      </w:tblGrid>
      <w:tr>
        <w:trPr/>
        <w:tc>
          <w:tcPr>
            <w:tcW w:w="219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earnings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earnings to net cash provided by operating activities: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property, plant and equipment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obsolescence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operating assets and liabilities: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receivable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prepaid expenses and other current assets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production costs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payable and accrued liabilities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deemed repatriation tax</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software development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investments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from sale of business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investments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by investing activities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long-term debt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borrowings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tax withholding for share-based compensation</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financing costs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provided by financing activities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 of exchange rate changes on cash</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cash equivalents and restricted cash</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beginning of year</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information</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572" w:type="dxa"/>
        <w:jc w:val="center"/>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245"/>
        <w:gridCol w:w="714"/>
        <w:gridCol w:w="137"/>
        <w:gridCol w:w="109"/>
        <w:gridCol w:w="109"/>
        <w:gridCol w:w="109"/>
        <w:gridCol w:w="196"/>
        <w:gridCol w:w="706"/>
        <w:gridCol w:w="109"/>
        <w:gridCol w:w="109"/>
        <w:gridCol w:w="109"/>
        <w:gridCol w:w="109"/>
        <w:gridCol w:w="263"/>
        <w:gridCol w:w="626"/>
        <w:gridCol w:w="147"/>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29,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29,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September 28,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10917" w:type="dxa"/>
        <w:jc w:val="left"/>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322"/>
        <w:gridCol w:w="939"/>
        <w:gridCol w:w="180"/>
        <w:gridCol w:w="109"/>
        <w:gridCol w:w="109"/>
        <w:gridCol w:w="109"/>
        <w:gridCol w:w="196"/>
        <w:gridCol w:w="706"/>
        <w:gridCol w:w="109"/>
        <w:gridCol w:w="109"/>
        <w:gridCol w:w="109"/>
        <w:gridCol w:w="109"/>
        <w:gridCol w:w="263"/>
        <w:gridCol w:w="626"/>
        <w:gridCol w:w="147"/>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September 29,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w:t>
      </w:r>
      <w:r>
        <w:rPr>
          <w:color w:val="000000"/>
        </w:rPr>
        <w:t xml:space="preserve"> </w:t>
      </w:r>
      <w:r>
        <w:rPr>
          <w:rFonts w:ascii="Arial;sans-serif" w:hAnsi="Arial;sans-serif"/>
          <w:b/>
          <w:color w:val="000000"/>
          <w:sz w:val="20"/>
          <w:u w:val="single"/>
        </w:rPr>
        <w:t>Basis of Presentation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September 28, 2025, September 29, 2024, and December 29, 2024, and the results of its operations and cash flows and shareholders' equity for the periods ended September 28, 2025 and September 29, 2024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three months ended September 28, 2025 and September 29, 2024 were 13-week periods. The nine months ended September 28, 2025 and September 29, 2024 were 39-week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results of operations for the three and nine months ended September 28, 2025 are not necessarily indicative of results to be expected for the full year 2025, nor were those of the comparable 2024 periods representative of those actually experienced for the full year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29, 2024 in the Company's Annual Report on Form 10-K for the year ended December 29, 2024 ("2024 Form 10-K"), which includes all such information and disclosures and, accordingly, should be read in conjunction with the financial information included herein. Certain amounts have been reclassified to conform to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Adjustments</w:t>
      </w:r>
    </w:p>
    <w:p>
      <w:pPr>
        <w:pStyle w:val="TextBody"/>
        <w:bidi w:val="0"/>
        <w:spacing w:lineRule="auto" w:line="288" w:before="120" w:after="283"/>
        <w:jc w:val="left"/>
        <w:rPr/>
      </w:pPr>
      <w:r>
        <w:rPr>
          <w:rFonts w:ascii="Arial;sans-serif" w:hAnsi="Arial;sans-serif"/>
          <w:b w:val="false"/>
          <w:color w:val="000000"/>
          <w:sz w:val="20"/>
        </w:rPr>
        <w:t xml:space="preserve">During the nine months ended September 29, 2024, the Company corrected prior period errors associated with an $18.1 million benefit related to the reversal of stock compensation expense for the Company's performance stock awards that should have been recorded during fiscal year 2023 (recorded in Selling, distribution and administration on the Consolidated Statements of Operations), a $31.1 million expense and associated liability related to historical environmental liabilities in accordance with Financial Accounting Standards Board ("FASB") Accounting Standard Codification ("ASC") Topic 410, </w:t>
      </w:r>
      <w:r>
        <w:rPr>
          <w:rFonts w:ascii="Arial;sans-serif" w:hAnsi="Arial;sans-serif"/>
          <w:b w:val="false"/>
          <w:i/>
          <w:color w:val="000000"/>
          <w:sz w:val="20"/>
        </w:rPr>
        <w:t>Asset Retirement and Environmental Obligations</w:t>
      </w:r>
      <w:r>
        <w:rPr>
          <w:color w:val="000000"/>
        </w:rPr>
        <w:t xml:space="preserve"> </w:t>
      </w:r>
      <w:r>
        <w:rPr>
          <w:rFonts w:ascii="Arial;sans-serif" w:hAnsi="Arial;sans-serif"/>
          <w:b w:val="false"/>
          <w:color w:val="000000"/>
          <w:sz w:val="20"/>
        </w:rPr>
        <w:t>(recorded in Selling, distribution and administration on the Consolidated Statements of Operations), and a $26.7 million benefit related to an over-accrual of vendor commitment liabilities (recorded in Cost of sales on the Consolidated Statements of Operations). The recording of these items was not considered to be material, individually or in the aggregate, to the Company's prior year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period ending September 29, 2024, the Company reclassified capitalized software development costs of $232.6 million from Property, plant and equipment, net into Other assets to conform with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summarized in Note 1, Summary of Significant Accounting Policies, to the consolidated financial statements included in the Company's 2024 Form 10-K. </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Recently Adopted Accounting Standards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nine months ended September 28, 2025, there were no recently adopted accounting standards that had a material effect on the Company’s financial statements.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Issued Accounting Pronouncements</w:t>
      </w:r>
    </w:p>
    <w:p>
      <w:pPr>
        <w:pStyle w:val="TextBody"/>
        <w:bidi w:val="0"/>
        <w:spacing w:lineRule="auto" w:line="288" w:before="120" w:after="283"/>
        <w:jc w:val="left"/>
        <w:rPr/>
      </w:pPr>
      <w:r>
        <w:rPr>
          <w:rFonts w:ascii="Arial;sans-serif" w:hAnsi="Arial;sans-serif"/>
          <w:b w:val="false"/>
          <w:color w:val="000000"/>
          <w:sz w:val="20"/>
        </w:rPr>
        <w:t xml:space="preserve">In December 2023, the FASB issued Accounting Standards Update ("ASU") 2023-09, </w:t>
      </w:r>
      <w:r>
        <w:rPr>
          <w:rFonts w:ascii="Arial;sans-serif" w:hAnsi="Arial;sans-serif"/>
          <w:b w:val="false"/>
          <w:i/>
          <w:color w:val="000000"/>
          <w:sz w:val="20"/>
        </w:rPr>
        <w:t>Income Taxes (Topic 740): Improvements in Income Tax Disclosures</w:t>
      </w:r>
      <w:r>
        <w:rPr>
          <w:rFonts w:ascii="Arial;sans-serif" w:hAnsi="Arial;sans-serif"/>
          <w:b w:val="false"/>
          <w:color w:val="000000"/>
          <w:sz w:val="20"/>
        </w:rPr>
        <w:t xml:space="preserve">.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annual periods beginning after December 15, 2024. We are assessing the impact of this ASU and upon adoption expect that any impact would be limited to additional income tax disclosures in the footnotes to our consolidated financial statements. We expect to adopt the standard beginning with our 2025 Form 10-K.</w:t>
      </w:r>
    </w:p>
    <w:p>
      <w:pPr>
        <w:pStyle w:val="TextBody"/>
        <w:bidi w:val="0"/>
        <w:spacing w:lineRule="auto" w:line="288" w:before="120" w:after="283"/>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w:t>
      </w:r>
      <w:r>
        <w:rPr>
          <w:rFonts w:ascii="Arial;sans-serif" w:hAnsi="Arial;sans-serif"/>
          <w:b w:val="false"/>
          <w:color w:val="000000"/>
          <w:sz w:val="20"/>
        </w:rPr>
        <w:t>. The new standard requires enhanced additional disclosures related to certain expense categories. The new standard is effective for fiscal years beginning after December 15, 2026. We are currently assessing the impact of this ASU on our consolidated financial statement disclosures.</w:t>
      </w:r>
    </w:p>
    <w:p>
      <w:pPr>
        <w:pStyle w:val="TextBody"/>
        <w:bidi w:val="0"/>
        <w:spacing w:lineRule="auto" w:line="288" w:before="120" w:after="283"/>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w:t>
      </w:r>
    </w:p>
    <w:p>
      <w:pPr>
        <w:pStyle w:val="TextBody"/>
        <w:bidi w:val="0"/>
        <w:spacing w:lineRule="auto" w:line="288" w:before="0" w:after="0"/>
        <w:jc w:val="left"/>
        <w:rPr/>
      </w:pPr>
      <w:r>
        <w:rPr>
          <w:rFonts w:ascii="Arial;sans-serif" w:hAnsi="Arial;sans-serif"/>
          <w:b w:val="false"/>
          <w:i/>
          <w:color w:val="000000"/>
          <w:sz w:val="20"/>
        </w:rPr>
        <w:t>Internal-Use Software (Subtopic 350-40)</w:t>
      </w:r>
      <w:r>
        <w:rPr>
          <w:rFonts w:ascii="Arial;sans-serif" w:hAnsi="Arial;sans-serif"/>
          <w:b w:val="false"/>
          <w:color w:val="000000"/>
          <w:sz w:val="20"/>
        </w:rPr>
        <w:t xml:space="preserve">. The amendments in this update remove all references to the previously existing software development project stages and require entities to start capitalizing software costs when management has authorized and committed funding to a software project and it is probable that the project will be completed with its intended functionality. The new standard is effective for fiscal years beginning after December 15, 2027. Early adoption is permitted and can be applied prospectively, retrospectively, or utilizing a modified transition approach. We are currently assessing the impact of this ASU on our consolidated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other recently issued accounting pronouncements which would have a material effect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(2) </w:t>
      </w:r>
      <w:r>
        <w:rPr>
          <w:rFonts w:ascii="Arial;sans-serif" w:hAnsi="Arial;sans-serif"/>
          <w:b/>
          <w:color w:val="000000"/>
          <w:sz w:val="20"/>
          <w:u w:val="single"/>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t>
      </w:r>
      <w:r>
        <w:rPr>
          <w:rFonts w:ascii="Arial;sans-serif" w:hAnsi="Arial;sans-serif"/>
          <w:b w:val="false"/>
          <w:color w:val="000000"/>
          <w:sz w:val="20"/>
        </w:rPr>
        <w:t>The majority of the Company’s revenues are derived from sales of finished products to customers. See Note 1, Summary of Significant Accounting Policies, of the Company's 2024 Annual Report for the Company's revenue recognition accounting policy.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ordinary course of business, the Company enters into arrangements that result in the recognition of contract assets and contract liabilities. The opening and closing balances of contract assets and contract liabilities are as follows:</w:t>
      </w:r>
    </w:p>
    <w:tbl>
      <w:tblPr>
        <w:tblW w:w="5832" w:type="dxa"/>
        <w:jc w:val="left"/>
        <w:tblInd w:w="0" w:type="dxa"/>
        <w:tblLayout w:type="fixed"/>
        <w:tblCellMar>
          <w:top w:w="28" w:type="dxa"/>
          <w:left w:w="28" w:type="dxa"/>
          <w:bottom w:w="28" w:type="dxa"/>
          <w:right w:w="28" w:type="dxa"/>
        </w:tblCellMar>
      </w:tblPr>
      <w:tblGrid>
        <w:gridCol w:w="995"/>
        <w:gridCol w:w="875"/>
        <w:gridCol w:w="890"/>
        <w:gridCol w:w="303"/>
        <w:gridCol w:w="888"/>
        <w:gridCol w:w="159"/>
        <w:gridCol w:w="109"/>
        <w:gridCol w:w="109"/>
        <w:gridCol w:w="109"/>
        <w:gridCol w:w="299"/>
        <w:gridCol w:w="876"/>
        <w:gridCol w:w="220"/>
      </w:tblGrid>
      <w:tr>
        <w:trPr/>
        <w:tc>
          <w:tcPr>
            <w:tcW w:w="9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nine months ended September 28, 2025, the Company recognized revenue of $193.2 million that was included in the December 29, 2024 contract liability balance. For the nine months ended September 29, 2024, the Company recognized revenue of $53.1 million that was included in the December 31, 2023 contract liability balance.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28, 2025, revenue for unsatisfied performance obligations expected to be recognized in the future is $989.4 million, primarily for intellectual property to be made available in the future under existing agreements with merchandise and co-branding licensees and television station affiliates. Of this amount, we expect to recognize approximately $113.8 million in the remainder of 2025, $200.8 million in 2026, $151.6 million in 2027, and $523.2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September 28, 2025 and September 29, 2024 are primarily from contracts with customers. A summary of the activity in the allowance for credit losses are as follows:</w:t>
      </w:r>
    </w:p>
    <w:tbl>
      <w:tblPr>
        <w:tblW w:w="5830" w:type="dxa"/>
        <w:jc w:val="left"/>
        <w:tblInd w:w="0" w:type="dxa"/>
        <w:tblLayout w:type="fixed"/>
        <w:tblCellMar>
          <w:top w:w="28" w:type="dxa"/>
          <w:left w:w="28" w:type="dxa"/>
          <w:bottom w:w="28" w:type="dxa"/>
          <w:right w:w="28" w:type="dxa"/>
        </w:tblCellMar>
      </w:tblPr>
      <w:tblGrid>
        <w:gridCol w:w="998"/>
        <w:gridCol w:w="878"/>
        <w:gridCol w:w="884"/>
        <w:gridCol w:w="341"/>
        <w:gridCol w:w="830"/>
        <w:gridCol w:w="178"/>
        <w:gridCol w:w="109"/>
        <w:gridCol w:w="109"/>
        <w:gridCol w:w="109"/>
        <w:gridCol w:w="334"/>
        <w:gridCol w:w="813"/>
        <w:gridCol w:w="247"/>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Provisions/charges to income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charged off and other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impact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Film &amp; TV and Family Brands. Finally, the Company disaggregates its revenues by brand portfolio into three brand categories: Grow Brands, Optimize Brands, and Reinvent Brands. We believe these collectively depict how the nature, amount, timing and uncertainty of revenue and cash flows are affected by economic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w:t>
      </w:r>
    </w:p>
    <w:tbl>
      <w:tblPr>
        <w:tblW w:w="8914" w:type="dxa"/>
        <w:jc w:val="left"/>
        <w:tblInd w:w="0" w:type="dxa"/>
        <w:tblLayout w:type="fixed"/>
        <w:tblCellMar>
          <w:top w:w="28" w:type="dxa"/>
          <w:left w:w="28" w:type="dxa"/>
          <w:bottom w:w="28" w:type="dxa"/>
          <w:right w:w="28" w:type="dxa"/>
        </w:tblCellMar>
      </w:tblPr>
      <w:tblGrid>
        <w:gridCol w:w="900"/>
        <w:gridCol w:w="793"/>
        <w:gridCol w:w="796"/>
        <w:gridCol w:w="303"/>
        <w:gridCol w:w="888"/>
        <w:gridCol w:w="159"/>
        <w:gridCol w:w="109"/>
        <w:gridCol w:w="109"/>
        <w:gridCol w:w="109"/>
        <w:gridCol w:w="303"/>
        <w:gridCol w:w="888"/>
        <w:gridCol w:w="159"/>
        <w:gridCol w:w="109"/>
        <w:gridCol w:w="109"/>
        <w:gridCol w:w="109"/>
        <w:gridCol w:w="262"/>
        <w:gridCol w:w="952"/>
        <w:gridCol w:w="135"/>
        <w:gridCol w:w="109"/>
        <w:gridCol w:w="109"/>
        <w:gridCol w:w="109"/>
        <w:gridCol w:w="260"/>
        <w:gridCol w:w="945"/>
        <w:gridCol w:w="190"/>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w:t>
      </w:r>
    </w:p>
    <w:tbl>
      <w:tblPr>
        <w:tblW w:w="7715" w:type="dxa"/>
        <w:jc w:val="left"/>
        <w:tblInd w:w="0" w:type="dxa"/>
        <w:tblLayout w:type="fixed"/>
        <w:tblCellMar>
          <w:top w:w="28" w:type="dxa"/>
          <w:left w:w="28" w:type="dxa"/>
          <w:bottom w:w="28" w:type="dxa"/>
          <w:right w:w="28" w:type="dxa"/>
        </w:tblCellMar>
      </w:tblPr>
      <w:tblGrid>
        <w:gridCol w:w="467"/>
        <w:gridCol w:w="410"/>
        <w:gridCol w:w="413"/>
        <w:gridCol w:w="303"/>
        <w:gridCol w:w="888"/>
        <w:gridCol w:w="159"/>
        <w:gridCol w:w="109"/>
        <w:gridCol w:w="109"/>
        <w:gridCol w:w="109"/>
        <w:gridCol w:w="303"/>
        <w:gridCol w:w="888"/>
        <w:gridCol w:w="159"/>
        <w:gridCol w:w="109"/>
        <w:gridCol w:w="109"/>
        <w:gridCol w:w="109"/>
        <w:gridCol w:w="262"/>
        <w:gridCol w:w="952"/>
        <w:gridCol w:w="135"/>
        <w:gridCol w:w="109"/>
        <w:gridCol w:w="109"/>
        <w:gridCol w:w="109"/>
        <w:gridCol w:w="260"/>
        <w:gridCol w:w="945"/>
        <w:gridCol w:w="190"/>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Entertainment segment net revenues by category:</w:t>
      </w:r>
    </w:p>
    <w:tbl>
      <w:tblPr>
        <w:tblW w:w="7712" w:type="dxa"/>
        <w:jc w:val="left"/>
        <w:tblInd w:w="0" w:type="dxa"/>
        <w:tblLayout w:type="fixed"/>
        <w:tblCellMar>
          <w:top w:w="28" w:type="dxa"/>
          <w:left w:w="28" w:type="dxa"/>
          <w:bottom w:w="28" w:type="dxa"/>
          <w:right w:w="28" w:type="dxa"/>
        </w:tblCellMar>
      </w:tblPr>
      <w:tblGrid>
        <w:gridCol w:w="465"/>
        <w:gridCol w:w="410"/>
        <w:gridCol w:w="415"/>
        <w:gridCol w:w="341"/>
        <w:gridCol w:w="830"/>
        <w:gridCol w:w="178"/>
        <w:gridCol w:w="109"/>
        <w:gridCol w:w="109"/>
        <w:gridCol w:w="109"/>
        <w:gridCol w:w="341"/>
        <w:gridCol w:w="830"/>
        <w:gridCol w:w="178"/>
        <w:gridCol w:w="109"/>
        <w:gridCol w:w="109"/>
        <w:gridCol w:w="109"/>
        <w:gridCol w:w="341"/>
        <w:gridCol w:w="830"/>
        <w:gridCol w:w="178"/>
        <w:gridCol w:w="109"/>
        <w:gridCol w:w="109"/>
        <w:gridCol w:w="109"/>
        <w:gridCol w:w="334"/>
        <w:gridCol w:w="813"/>
        <w:gridCol w:w="247"/>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net revenues by brand portfolio:</w:t>
      </w:r>
    </w:p>
    <w:tbl>
      <w:tblPr>
        <w:tblW w:w="7952" w:type="dxa"/>
        <w:jc w:val="left"/>
        <w:tblInd w:w="0" w:type="dxa"/>
        <w:tblLayout w:type="fixed"/>
        <w:tblCellMar>
          <w:top w:w="28" w:type="dxa"/>
          <w:left w:w="28" w:type="dxa"/>
          <w:bottom w:w="28" w:type="dxa"/>
          <w:right w:w="28" w:type="dxa"/>
        </w:tblCellMar>
      </w:tblPr>
      <w:tblGrid>
        <w:gridCol w:w="552"/>
        <w:gridCol w:w="487"/>
        <w:gridCol w:w="490"/>
        <w:gridCol w:w="262"/>
        <w:gridCol w:w="952"/>
        <w:gridCol w:w="135"/>
        <w:gridCol w:w="109"/>
        <w:gridCol w:w="109"/>
        <w:gridCol w:w="109"/>
        <w:gridCol w:w="262"/>
        <w:gridCol w:w="952"/>
        <w:gridCol w:w="135"/>
        <w:gridCol w:w="109"/>
        <w:gridCol w:w="109"/>
        <w:gridCol w:w="109"/>
        <w:gridCol w:w="262"/>
        <w:gridCol w:w="952"/>
        <w:gridCol w:w="135"/>
        <w:gridCol w:w="109"/>
        <w:gridCol w:w="109"/>
        <w:gridCol w:w="109"/>
        <w:gridCol w:w="260"/>
        <w:gridCol w:w="945"/>
        <w:gridCol w:w="190"/>
      </w:tblGrid>
      <w:tr>
        <w:trPr/>
        <w:tc>
          <w:tcPr>
            <w:tcW w:w="5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Grow Brands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Reinvent Brands </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(3) </w:t>
      </w:r>
      <w:r>
        <w:rPr>
          <w:rFonts w:ascii="Arial;sans-serif" w:hAnsi="Arial;sans-serif"/>
          <w:b/>
          <w:color w:val="000000"/>
          <w:sz w:val="20"/>
          <w:u w:val="single"/>
        </w:rPr>
        <w:t>Sale of Non-Core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 $375.0 million in cash, subject to the satisfaction of customary net working capital closing conditions and holdbacks for certain retained liabilities, plus the assumption by Lionsgate of production financing loans.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Equity Purchase Agreement also included a holdback amount that was retained by Lionsgate upon the execution of the sale but remained recoverable by Hasbro if certain terms were not satisfied by Lionsgate within 30 days of the first anniversary of the agreement. During the nine months ended September 28, 2025, the Company was informed by Lionsgate of the satisfaction of the requirements under the agreement and the final holdback amount was settled, resulting in a $25.0 million expense recorded within Loss on disposal of business on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nine months ended September 29, 2024, the Company recorded $24.4 million expense in Loss on disposal of business on the Consolidated Statements of Operations associated with certain purchase price and related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(4) </w:t>
      </w:r>
      <w:r>
        <w:rPr>
          <w:rFonts w:ascii="Arial;sans-serif" w:hAnsi="Arial;sans-serif"/>
          <w:b/>
          <w:color w:val="000000"/>
          <w:sz w:val="20"/>
          <w:u w:val="single"/>
        </w:rPr>
        <w:t>Earnings (Loss) Per Common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(loss) per share data were computed as follows:</w:t>
      </w:r>
    </w:p>
    <w:tbl>
      <w:tblPr>
        <w:tblW w:w="10205" w:type="dxa"/>
        <w:jc w:val="left"/>
        <w:tblInd w:w="0" w:type="dxa"/>
        <w:tblLayout w:type="fixed"/>
        <w:tblCellMar>
          <w:top w:w="28" w:type="dxa"/>
          <w:left w:w="28" w:type="dxa"/>
          <w:bottom w:w="28" w:type="dxa"/>
          <w:right w:w="28" w:type="dxa"/>
        </w:tblCellMar>
      </w:tblPr>
      <w:tblGrid>
        <w:gridCol w:w="1556"/>
        <w:gridCol w:w="1289"/>
        <w:gridCol w:w="1292"/>
        <w:gridCol w:w="282"/>
        <w:gridCol w:w="828"/>
        <w:gridCol w:w="148"/>
        <w:gridCol w:w="109"/>
        <w:gridCol w:w="109"/>
        <w:gridCol w:w="109"/>
        <w:gridCol w:w="282"/>
        <w:gridCol w:w="828"/>
        <w:gridCol w:w="148"/>
        <w:gridCol w:w="109"/>
        <w:gridCol w:w="109"/>
        <w:gridCol w:w="109"/>
        <w:gridCol w:w="279"/>
        <w:gridCol w:w="835"/>
        <w:gridCol w:w="144"/>
        <w:gridCol w:w="109"/>
        <w:gridCol w:w="109"/>
        <w:gridCol w:w="109"/>
        <w:gridCol w:w="279"/>
        <w:gridCol w:w="819"/>
        <w:gridCol w:w="215"/>
      </w:tblGrid>
      <w:tr>
        <w:trPr/>
        <w:tc>
          <w:tcPr>
            <w:tcW w:w="155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shares outstanding</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other share-based awards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Equivalent Shares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 per common share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and nine months ended September 28, 2025, options and other share-based awards totaling 0.5 million and 3.6 million, respectively, were excluded from the calculation of diluted earnings per share because to include them would have been anti-dilutive. For the three and nine months ended September 29, 2024 options and other share-based awards totaling 1.1 million and 1.9 million, respectively, were excluded from the calculation of diluted earnings per share because to include them would have been anti-dilutive. With respect to the nine months ended September 28, 2025, 2.9 million awards would have been included in the calculation of diluted shares had the Company not reported a net loss. Assuming that these options and other share-based awards were included, under the treasury stock method, this would have resulted in an additional 1.3 million shares being included in the diluted earnings per share calculation for the nine months ended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(5)</w:t>
      </w:r>
      <w:r>
        <w:rPr>
          <w:color w:val="000000"/>
        </w:rPr>
        <w:t xml:space="preserve"> </w:t>
      </w:r>
      <w:r>
        <w:rPr>
          <w:rFonts w:ascii="Arial;sans-serif" w:hAnsi="Arial;sans-serif"/>
          <w:b/>
          <w:color w:val="000000"/>
          <w:sz w:val="20"/>
          <w:u w:val="single"/>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are as follows:</w:t>
      </w:r>
    </w:p>
    <w:tbl>
      <w:tblPr>
        <w:tblW w:w="10205" w:type="dxa"/>
        <w:jc w:val="left"/>
        <w:tblInd w:w="0" w:type="dxa"/>
        <w:tblLayout w:type="fixed"/>
        <w:tblCellMar>
          <w:top w:w="28" w:type="dxa"/>
          <w:left w:w="28" w:type="dxa"/>
          <w:bottom w:w="28" w:type="dxa"/>
          <w:right w:w="28" w:type="dxa"/>
        </w:tblCellMar>
      </w:tblPr>
      <w:tblGrid>
        <w:gridCol w:w="841"/>
        <w:gridCol w:w="719"/>
        <w:gridCol w:w="727"/>
        <w:gridCol w:w="109"/>
        <w:gridCol w:w="109"/>
        <w:gridCol w:w="109"/>
        <w:gridCol w:w="1272"/>
        <w:gridCol w:w="714"/>
        <w:gridCol w:w="660"/>
        <w:gridCol w:w="109"/>
        <w:gridCol w:w="109"/>
        <w:gridCol w:w="109"/>
        <w:gridCol w:w="760"/>
        <w:gridCol w:w="464"/>
        <w:gridCol w:w="395"/>
        <w:gridCol w:w="109"/>
        <w:gridCol w:w="109"/>
        <w:gridCol w:w="109"/>
        <w:gridCol w:w="649"/>
        <w:gridCol w:w="335"/>
        <w:gridCol w:w="337"/>
        <w:gridCol w:w="109"/>
        <w:gridCol w:w="109"/>
        <w:gridCol w:w="109"/>
        <w:gridCol w:w="254"/>
        <w:gridCol w:w="316"/>
        <w:gridCol w:w="454"/>
      </w:tblGrid>
      <w:tr>
        <w:trPr/>
        <w:tc>
          <w:tcPr>
            <w:tcW w:w="84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September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1,256.5</w:t>
            </w:r>
          </w:p>
        </w:tc>
      </w:tr>
    </w:tbl>
    <w:tbl>
      <w:tblPr>
        <w:tblW w:w="10205" w:type="dxa"/>
        <w:jc w:val="left"/>
        <w:tblInd w:w="0" w:type="dxa"/>
        <w:tblLayout w:type="fixed"/>
        <w:tblCellMar>
          <w:top w:w="28" w:type="dxa"/>
          <w:left w:w="28" w:type="dxa"/>
          <w:bottom w:w="28" w:type="dxa"/>
          <w:right w:w="28" w:type="dxa"/>
        </w:tblCellMar>
      </w:tblPr>
      <w:tblGrid>
        <w:gridCol w:w="822"/>
        <w:gridCol w:w="706"/>
        <w:gridCol w:w="714"/>
        <w:gridCol w:w="109"/>
        <w:gridCol w:w="109"/>
        <w:gridCol w:w="109"/>
        <w:gridCol w:w="1244"/>
        <w:gridCol w:w="702"/>
        <w:gridCol w:w="646"/>
        <w:gridCol w:w="109"/>
        <w:gridCol w:w="109"/>
        <w:gridCol w:w="109"/>
        <w:gridCol w:w="751"/>
        <w:gridCol w:w="464"/>
        <w:gridCol w:w="390"/>
        <w:gridCol w:w="109"/>
        <w:gridCol w:w="109"/>
        <w:gridCol w:w="109"/>
        <w:gridCol w:w="649"/>
        <w:gridCol w:w="335"/>
        <w:gridCol w:w="337"/>
        <w:gridCol w:w="109"/>
        <w:gridCol w:w="109"/>
        <w:gridCol w:w="109"/>
        <w:gridCol w:w="258"/>
        <w:gridCol w:w="357"/>
        <w:gridCol w:w="364"/>
        <w:gridCol w:w="158"/>
      </w:tblGrid>
      <w:tr>
        <w:trPr/>
        <w:tc>
          <w:tcPr>
            <w:tcW w:w="82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2,278.9</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w:t>
      </w:r>
    </w:p>
    <w:p>
      <w:pPr>
        <w:pStyle w:val="TextBody"/>
        <w:bidi w:val="0"/>
        <w:spacing w:lineRule="auto" w:line="288" w:before="120" w:after="283"/>
        <w:jc w:val="left"/>
        <w:rPr/>
      </w:pPr>
      <w:r>
        <w:rPr>
          <w:rFonts w:ascii="Arial;sans-serif" w:hAnsi="Arial;sans-serif"/>
          <w:b w:val="false"/>
          <w:color w:val="000000"/>
          <w:sz w:val="20"/>
        </w:rPr>
        <w:t xml:space="preserve">Due to increased tariffs, including reciprocal tariffs, announced by the U.S. government in April 2025, the escalation of ongoing trade policy disputes between international governments, the financial performance of certain reporting units being lower than previously forecasted, and other macroeconomic headwinds, during the second quarter of 2025, the Company noted downward revisions to operating income and cash flow forecasts for certain of its reporting units within the Consumer Products and Entertainment segments. As a result, during the second quarter of 2025, the Company performed an interim quantitative impairment test for the North America, Europe, Asia Pacific, and Latin America Consumer Products reporting units, as well as the Family Brands reporting unit within the Entertainment segment. Additionally, due to our ongoing transformation, we concluded that, as of the second quarter of 2025, the North America, Europe, Asia Pacific, and Latin America reporting units had similar economic characteristics and should be aggregated for purposes of testing goodwill for impairment. Our conclusion was based on a detailed analysis of the aggregation criteria set forth in ASC Topic 280, </w:t>
      </w:r>
      <w:r>
        <w:rPr>
          <w:rFonts w:ascii="Arial;sans-serif" w:hAnsi="Arial;sans-serif"/>
          <w:b w:val="false"/>
          <w:i/>
          <w:color w:val="000000"/>
          <w:sz w:val="20"/>
        </w:rPr>
        <w:t>Segment Reporting</w:t>
      </w:r>
      <w:r>
        <w:rPr>
          <w:rFonts w:ascii="Arial;sans-serif" w:hAnsi="Arial;sans-serif"/>
          <w:b w:val="false"/>
          <w:color w:val="000000"/>
          <w:sz w:val="20"/>
        </w:rPr>
        <w:t xml:space="preserve">, and in FASB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and as of the second quarter of 2025 had similar sourcing and distribution methods that along with our ongoing transformation has resulted in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quantitative tests performed prior to and following the aggregation, the Company determined that the carrying values of our regional Consumer Products reporting units exceeded their expected fair values and recorded pre-tax non-cash impairment charges of $1,021.9 million within the Consolidated Statements of Operations for the nine months ended September 28, 2025. The fair values of North America and Europe were determined considering a discounted cash flow model which is primarily based on management’s future revenue and cost estimates, which included the estimated impact of tariff policies in effect and the related macroeconomic environment, and a discount rate. The fair value of the Asia Pacific and Latin America reporting units was determined considering a discounted cash flow model weighted equally with the market approach, which is primarily based on multiples of comparable public companies. No impairments were recorded related to the Family Brands reporting unit.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At September 28, 2025, $325.2 million of goodwill is allocated to the Family Brands reporting unit. As of the date of the most recent test, which occurred during the second quarter of 2025, the fair value of our Family Brands reporting unit, within the Entertainment segment, exceeded the carrying value of that reporting unit by approximately 15%. The fair value of the Family Brands reporting unit was determined considering a discounted cash flow model weighted equally with the market approach which is primarily based on multiples of comparable public companies. For the Family Brands reporting unit, critical assumptions included a discount rate approximating 9.5%, a terminal value revenue growth rate of 3.0%, and a terminal operating profit margin consistent with levels achieved in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historical periods when excluding one-time impairment and disposal charges. Although we believe the assumptions and estimates made were reasonable and appropriate, these estimates are based on a number of factors including historical experience and information obtained from reporting unit management. Actual results could differ from these estimates, especially given uncertainty related to tariffs, global trade policy, and global macroeconomic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(6)</w:t>
      </w:r>
      <w:r>
        <w:rPr>
          <w:color w:val="000000"/>
        </w:rPr>
        <w:t xml:space="preserve"> </w:t>
      </w:r>
      <w:r>
        <w:rPr>
          <w:rFonts w:ascii="Arial;sans-serif" w:hAnsi="Arial;sans-serif"/>
          <w:b/>
          <w:color w:val="000000"/>
          <w:sz w:val="20"/>
          <w:u w:val="single"/>
        </w:rPr>
        <w:t>Other Comprehensive Earnings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(Loss). The following table presents the related tax effects on changes in Other comprehensive earnings (loss):</w:t>
      </w:r>
    </w:p>
    <w:tbl>
      <w:tblPr>
        <w:tblW w:w="10205" w:type="dxa"/>
        <w:jc w:val="left"/>
        <w:tblInd w:w="0" w:type="dxa"/>
        <w:tblLayout w:type="fixed"/>
        <w:tblCellMar>
          <w:top w:w="28" w:type="dxa"/>
          <w:left w:w="28" w:type="dxa"/>
          <w:bottom w:w="28" w:type="dxa"/>
          <w:right w:w="28" w:type="dxa"/>
        </w:tblCellMar>
      </w:tblPr>
      <w:tblGrid>
        <w:gridCol w:w="1466"/>
        <w:gridCol w:w="1269"/>
        <w:gridCol w:w="1273"/>
        <w:gridCol w:w="367"/>
        <w:gridCol w:w="734"/>
        <w:gridCol w:w="190"/>
        <w:gridCol w:w="109"/>
        <w:gridCol w:w="109"/>
        <w:gridCol w:w="109"/>
        <w:gridCol w:w="375"/>
        <w:gridCol w:w="721"/>
        <w:gridCol w:w="195"/>
        <w:gridCol w:w="109"/>
        <w:gridCol w:w="109"/>
        <w:gridCol w:w="109"/>
        <w:gridCol w:w="375"/>
        <w:gridCol w:w="721"/>
        <w:gridCol w:w="195"/>
        <w:gridCol w:w="109"/>
        <w:gridCol w:w="109"/>
        <w:gridCol w:w="109"/>
        <w:gridCol w:w="358"/>
        <w:gridCol w:w="716"/>
        <w:gridCol w:w="269"/>
      </w:tblGrid>
      <w:tr>
        <w:trPr/>
        <w:tc>
          <w:tcPr>
            <w:tcW w:w="14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tax effect:</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(expense) benefit on hedging activities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(loss), tax effect:</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expense (benefit) on hedging activities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tax effect on Other comprehensive earnings (loss)</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components of Accumulated other comprehensive loss, net of tax are as follows:</w:t>
      </w:r>
    </w:p>
    <w:tbl>
      <w:tblPr>
        <w:tblW w:w="10205" w:type="dxa"/>
        <w:jc w:val="left"/>
        <w:tblInd w:w="0" w:type="dxa"/>
        <w:tblLayout w:type="fixed"/>
        <w:tblCellMar>
          <w:top w:w="28" w:type="dxa"/>
          <w:left w:w="28" w:type="dxa"/>
          <w:bottom w:w="28" w:type="dxa"/>
          <w:right w:w="28" w:type="dxa"/>
        </w:tblCellMar>
      </w:tblPr>
      <w:tblGrid>
        <w:gridCol w:w="1044"/>
        <w:gridCol w:w="687"/>
        <w:gridCol w:w="694"/>
        <w:gridCol w:w="397"/>
        <w:gridCol w:w="793"/>
        <w:gridCol w:w="206"/>
        <w:gridCol w:w="109"/>
        <w:gridCol w:w="109"/>
        <w:gridCol w:w="109"/>
        <w:gridCol w:w="284"/>
        <w:gridCol w:w="709"/>
        <w:gridCol w:w="148"/>
        <w:gridCol w:w="109"/>
        <w:gridCol w:w="109"/>
        <w:gridCol w:w="109"/>
        <w:gridCol w:w="298"/>
        <w:gridCol w:w="598"/>
        <w:gridCol w:w="155"/>
        <w:gridCol w:w="109"/>
        <w:gridCol w:w="109"/>
        <w:gridCol w:w="109"/>
        <w:gridCol w:w="266"/>
        <w:gridCol w:w="796"/>
        <w:gridCol w:w="139"/>
        <w:gridCol w:w="109"/>
        <w:gridCol w:w="109"/>
        <w:gridCol w:w="109"/>
        <w:gridCol w:w="355"/>
        <w:gridCol w:w="1064"/>
        <w:gridCol w:w="264"/>
      </w:tblGrid>
      <w:tr>
        <w:trPr/>
        <w:tc>
          <w:tcPr>
            <w:tcW w:w="104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Gains</w:t>
              <w:br/>
              <w:t>(Losses)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w:t>
              <w:br/>
              <w:t>Holding</w:t>
              <w:br/>
              <w:t>Gains</w:t>
              <w:br/>
              <w:t>(Losses) on</w:t>
              <w:br/>
              <w:t>Available-</w:t>
              <w:br/>
              <w:t>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Accumulated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Other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Comprehensive Loss</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2025</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29, 2024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28, 2025</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29, 2024</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Gains (Losses) on Derivative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September 28, 2025, the Company had remaining deferred losses on foreign currency forward contracts, net of tax, of $8.6 million in Accumulated other comprehensive loss ("AOCL"). These instruments hedge payments related to inventory purchased in the nine months ended September 28, 2025 or forecasted to be purchased during the remainder of 2025, intercompany expenses expected to be paid or received during 2025 and cash receipts for sales made at the end of the third quarter of 2025 or forecasted to be made in the remainder of 2025. These amounts will be reclassified into the Consolidated Statements of Operations upon the sale of the related inventory or recognition of the related sales or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AOCL and is being amortized to interest expense over the life of the related Notes using the effective interest rate method. At September 28, 2025, deferred losses, net of tax of $13.0 million related to these instruments remained in AOCL. For each of the three months ended September 28, 2025 and September 29, 2024, previously deferred losses, net of tax, of $0.2 million related to these instruments were reclassified from AOCL to net earnings. For each of the nine months ended September 28, 2025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September 29, 2024, previously deferred losses, net of tax, of $0.6 million related to these instruments were reclassified from AOCL to net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Of the amounts included in AOCL at September 28, 2025, the Company expects net loss of approximately $5.9 million to be reclassified to the Consolidated Statements of Operations within the next twelve months. However, the amount ultimately realized in earnings is dependent on the fair value of the hedging instruments on the settlement dates.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12, Derivative Financial Instruments, to the consolidated financial statements for additional discussion on reclassifications from AOCL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(7) </w:t>
      </w:r>
      <w:r>
        <w:rPr>
          <w:rFonts w:ascii="Arial;sans-serif" w:hAnsi="Arial;sans-serif"/>
          <w:b/>
          <w:color w:val="000000"/>
          <w:sz w:val="20"/>
          <w:u w:val="single"/>
        </w:rPr>
        <w:t>Additional Balance Sheet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accrued liabilities were as follows:</w:t>
      </w:r>
    </w:p>
    <w:tbl>
      <w:tblPr>
        <w:tblW w:w="8210" w:type="dxa"/>
        <w:jc w:val="left"/>
        <w:tblInd w:w="0" w:type="dxa"/>
        <w:tblLayout w:type="fixed"/>
        <w:tblCellMar>
          <w:top w:w="28" w:type="dxa"/>
          <w:left w:w="28" w:type="dxa"/>
          <w:bottom w:w="28" w:type="dxa"/>
          <w:right w:w="28" w:type="dxa"/>
        </w:tblCellMar>
      </w:tblPr>
      <w:tblGrid>
        <w:gridCol w:w="1100"/>
        <w:gridCol w:w="970"/>
        <w:gridCol w:w="974"/>
        <w:gridCol w:w="262"/>
        <w:gridCol w:w="952"/>
        <w:gridCol w:w="135"/>
        <w:gridCol w:w="109"/>
        <w:gridCol w:w="109"/>
        <w:gridCol w:w="109"/>
        <w:gridCol w:w="262"/>
        <w:gridCol w:w="952"/>
        <w:gridCol w:w="135"/>
        <w:gridCol w:w="109"/>
        <w:gridCol w:w="109"/>
        <w:gridCol w:w="109"/>
        <w:gridCol w:w="338"/>
        <w:gridCol w:w="1229"/>
        <w:gridCol w:w="247"/>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7" w:before="20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 current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royalties expense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management incentives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vendor accruals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 current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Lag &amp; cancellation charges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contributions plans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Participations and residuals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 productions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Prepaid expenses and other current assets include contract assets, current of $129.8 million, $173.6 million, and $179.5 million as of September 28, 2025, September 29, 2024, and December 29, 2024</w:t>
      </w:r>
      <w:r>
        <w:rPr>
          <w:rFonts w:ascii="Arial;sans-serif" w:hAnsi="Arial;sans-serif"/>
          <w:b w:val="false"/>
          <w:color w:val="000000"/>
          <w:sz w:val="20"/>
          <w:shd w:fill="FFFFFF" w:val="clear"/>
        </w:rPr>
        <w:t>, respectively.</w:t>
      </w:r>
    </w:p>
    <w:p>
      <w:pPr>
        <w:pStyle w:val="TextBody"/>
        <w:bidi w:val="0"/>
        <w:spacing w:lineRule="auto" w:line="288" w:before="120" w:after="283"/>
        <w:jc w:val="left"/>
        <w:rPr/>
      </w:pPr>
      <w:r>
        <w:rPr>
          <w:rFonts w:ascii="Arial;sans-serif" w:hAnsi="Arial;sans-serif"/>
          <w:b w:val="false"/>
          <w:color w:val="000000"/>
          <w:sz w:val="20"/>
        </w:rPr>
        <w:t>Other assets include deferred tax assets of $376.5 million, $407.1 million, and $424.6 million as of September 28, 2025, September 29, 2024, and December 29, 2024</w:t>
      </w:r>
      <w:r>
        <w:rPr>
          <w:rFonts w:ascii="Arial;sans-serif" w:hAnsi="Arial;sans-serif"/>
          <w:b w:val="false"/>
          <w:color w:val="000000"/>
          <w:sz w:val="20"/>
          <w:shd w:fill="FFFFFF" w:val="clear"/>
        </w:rPr>
        <w:t xml:space="preserve">, respectively, and unamortized software development costs of </w:t>
      </w:r>
      <w:r>
        <w:rPr>
          <w:rFonts w:ascii="Arial;sans-serif" w:hAnsi="Arial;sans-serif"/>
          <w:b w:val="false"/>
          <w:color w:val="000000"/>
          <w:sz w:val="20"/>
        </w:rPr>
        <w:t>$359.9 million</w:t>
      </w:r>
      <w:r>
        <w:rPr>
          <w:rFonts w:ascii="Arial;sans-serif" w:hAnsi="Arial;sans-serif"/>
          <w:b w:val="false"/>
          <w:color w:val="000000"/>
          <w:sz w:val="20"/>
          <w:shd w:fill="FFFFFF" w:val="clear"/>
        </w:rPr>
        <w:t xml:space="preserve">, </w:t>
      </w:r>
      <w:r>
        <w:rPr>
          <w:rFonts w:ascii="Arial;sans-serif" w:hAnsi="Arial;sans-serif"/>
          <w:b w:val="false"/>
          <w:color w:val="000000"/>
          <w:sz w:val="20"/>
        </w:rPr>
        <w:t>$232.6 million</w:t>
      </w:r>
      <w:r>
        <w:rPr>
          <w:rFonts w:ascii="Arial;sans-serif" w:hAnsi="Arial;sans-serif"/>
          <w:b w:val="false"/>
          <w:color w:val="000000"/>
          <w:sz w:val="20"/>
          <w:shd w:fill="FFFFFF" w:val="clear"/>
        </w:rPr>
        <w:t xml:space="preserve">, and </w:t>
      </w:r>
      <w:r>
        <w:rPr>
          <w:rFonts w:ascii="Arial;sans-serif" w:hAnsi="Arial;sans-serif"/>
          <w:b w:val="false"/>
          <w:color w:val="000000"/>
          <w:sz w:val="20"/>
        </w:rPr>
        <w:t>$264.4 million</w:t>
      </w:r>
      <w:r>
        <w:rPr>
          <w:color w:val="000000"/>
          <w:shd w:fill="FFFFFF" w:val="clear"/>
        </w:rPr>
        <w:t xml:space="preserve"> </w:t>
      </w:r>
      <w:r>
        <w:rPr>
          <w:rFonts w:ascii="Arial;sans-serif" w:hAnsi="Arial;sans-serif"/>
          <w:b w:val="false"/>
          <w:color w:val="000000"/>
          <w:sz w:val="20"/>
        </w:rPr>
        <w:t>as of September 28, 2025, September 29, 2024, and December 29, 2024</w:t>
      </w:r>
      <w:r>
        <w:rPr>
          <w:rFonts w:ascii="Arial;sans-serif" w:hAnsi="Arial;sans-serif"/>
          <w:b w:val="false"/>
          <w:color w:val="000000"/>
          <w:sz w:val="20"/>
          <w:shd w:fill="FFFFFF" w:val="clear"/>
        </w:rPr>
        <w:t>,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(8)</w:t>
      </w:r>
      <w:r>
        <w:rPr>
          <w:color w:val="000000"/>
        </w:rPr>
        <w:t xml:space="preserve"> </w:t>
      </w:r>
      <w:r>
        <w:rPr>
          <w:rFonts w:ascii="Arial;sans-serif" w:hAnsi="Arial;sans-serif"/>
          <w:b/>
          <w:color w:val="000000"/>
          <w:sz w:val="20"/>
          <w:u w:val="single"/>
        </w:rPr>
        <w:t>Long-Term Debt and Other Financing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costs, which are equal to the outstanding principal amounts, and fair values of the Company's long-term borrowings are as follows:</w:t>
      </w:r>
    </w:p>
    <w:tbl>
      <w:tblPr>
        <w:tblW w:w="10205" w:type="dxa"/>
        <w:jc w:val="left"/>
        <w:tblInd w:w="0" w:type="dxa"/>
        <w:tblLayout w:type="fixed"/>
        <w:tblCellMar>
          <w:top w:w="28" w:type="dxa"/>
          <w:left w:w="28" w:type="dxa"/>
          <w:bottom w:w="28" w:type="dxa"/>
          <w:right w:w="28" w:type="dxa"/>
        </w:tblCellMar>
      </w:tblPr>
      <w:tblGrid>
        <w:gridCol w:w="797"/>
        <w:gridCol w:w="602"/>
        <w:gridCol w:w="6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3.90%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3.55% Notes Due 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6.05% Notes Due 2034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6.35% Notes Due 2040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3.50% Notes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5.10% Notes Due 2044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6.60% Debentures Due 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3.00% Notes Due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debt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nine months ended September 28, 2025, the Company repurchased $65.0 million of its 2026 and 2027 Notes. For the three and nine months ended September 28, 2025, the Company recorded a gain on extinguishment of $0.1 million and $1.5 million, respectively, which were recorded in Other expense (income), net in the Consolidated Statements of Operations.</w:t>
      </w:r>
    </w:p>
    <w:p>
      <w:pPr>
        <w:pStyle w:val="TextBody"/>
        <w:bidi w:val="0"/>
        <w:spacing w:lineRule="auto" w:line="288" w:before="120" w:after="283"/>
        <w:jc w:val="left"/>
        <w:rPr>
          <w:rFonts w:ascii="Arial;sans-serif" w:hAnsi="Arial;sans-serif"/>
          <w:b/>
          <w:i/>
          <w:color w:val="212529"/>
          <w:sz w:val="20"/>
        </w:rPr>
      </w:pPr>
      <w:r>
        <w:rPr>
          <w:rFonts w:ascii="Arial;sans-serif" w:hAnsi="Arial;sans-serif"/>
          <w:b/>
          <w:i/>
          <w:color w:val="212529"/>
          <w:sz w:val="20"/>
        </w:rPr>
        <w:t>Other Financing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of which the Company has zero outstanding borrowings as of September 28, 2025.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pStyle w:val="TextBody"/>
        <w:bidi w:val="0"/>
        <w:spacing w:lineRule="auto" w:line="288" w:before="120" w:after="283"/>
        <w:jc w:val="left"/>
        <w:rPr/>
      </w:pPr>
      <w:r>
        <w:rPr>
          <w:rFonts w:ascii="Arial;sans-serif" w:hAnsi="Arial;sans-serif"/>
          <w:b w:val="false"/>
          <w:color w:val="000000"/>
          <w:sz w:val="20"/>
          <w:shd w:fill="FFFFFF" w:val="clear"/>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w:t>
      </w:r>
      <w:r>
        <w:rPr>
          <w:color w:val="000000"/>
        </w:rPr>
        <w:t xml:space="preserve"> </w:t>
      </w:r>
      <w:r>
        <w:rPr>
          <w:rFonts w:ascii="Arial;sans-serif" w:hAnsi="Arial;sans-serif"/>
          <w:b w:val="false"/>
          <w:color w:val="000000"/>
          <w:sz w:val="20"/>
        </w:rPr>
        <w:t xml:space="preserve">$100.1 million, $118.7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September 28, 2025, September 29, 2024, and December 29, 2024</w:t>
      </w:r>
      <w:r>
        <w:rPr>
          <w:rFonts w:ascii="Arial;sans-serif" w:hAnsi="Arial;sans-serif"/>
          <w:b w:val="false"/>
          <w:color w:val="000000"/>
          <w:sz w:val="20"/>
          <w:shd w:fill="FFFFFF" w:val="clear"/>
        </w:rPr>
        <w:t>, respectively. These obligations are presented within Accounts payable in our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June 2025, the Company entered into an uncommitted money market line of credit agreement (the “Money Market Credit Facility”) to provide the Company with access to short-term cash advances with an aggregate principal amount of up to $100.0 million. The Money Market Credit Facility is intended to support the Company’s short-term liquidity needs, including working capital and general corporate purposes.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Under the terms of the Money Market Credit Facility, each loan borrowing is subject to the lender’s sole and absolute discretion with no obligation to fund and bears interest at a variable rate agreed upon at the time of each borrowing.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Money Market Credit Facility has no commitment fee or termination fee. Each advance under the Money Market Credit Facility has a maturity date of less than 90 days from the borrowing date, and the Company may voluntarily prepay any outstanding advances without premium or penalty, subject to reimbursement of actual breakage costs, if any. The Money Market Credit Facility may be terminated by the lender at any time upon written notice and is subject to customary representations, warranties, and covenants. There was no outstanding balance as of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(9)</w:t>
      </w:r>
      <w:r>
        <w:rPr>
          <w:color w:val="000000"/>
        </w:rPr>
        <w:t xml:space="preserve"> </w:t>
      </w:r>
      <w:r>
        <w:rPr>
          <w:rFonts w:ascii="Arial;sans-serif" w:hAnsi="Arial;sans-serif"/>
          <w:b/>
          <w:color w:val="000000"/>
          <w:sz w:val="20"/>
          <w:u w:val="single"/>
        </w:rPr>
        <w:t>Investments in Productions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Investments in productions are predominantly monetized on a title-by-title basis and are recorded within Other assets in the Company's Consolidated Balance Sheet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unamortized investments in productions consisted of the following:</w:t>
      </w:r>
    </w:p>
    <w:tbl>
      <w:tblPr>
        <w:tblW w:w="9167" w:type="dxa"/>
        <w:jc w:val="center"/>
        <w:tblInd w:w="0" w:type="dxa"/>
        <w:tblLayout w:type="fixed"/>
        <w:tblCellMar>
          <w:top w:w="28" w:type="dxa"/>
          <w:left w:w="28" w:type="dxa"/>
          <w:bottom w:w="28" w:type="dxa"/>
          <w:right w:w="28" w:type="dxa"/>
        </w:tblCellMar>
      </w:tblPr>
      <w:tblGrid>
        <w:gridCol w:w="1378"/>
        <w:gridCol w:w="1212"/>
        <w:gridCol w:w="1219"/>
        <w:gridCol w:w="109"/>
        <w:gridCol w:w="109"/>
        <w:gridCol w:w="109"/>
        <w:gridCol w:w="303"/>
        <w:gridCol w:w="888"/>
        <w:gridCol w:w="159"/>
        <w:gridCol w:w="109"/>
        <w:gridCol w:w="109"/>
        <w:gridCol w:w="109"/>
        <w:gridCol w:w="303"/>
        <w:gridCol w:w="888"/>
        <w:gridCol w:w="159"/>
        <w:gridCol w:w="109"/>
        <w:gridCol w:w="109"/>
        <w:gridCol w:w="109"/>
        <w:gridCol w:w="293"/>
        <w:gridCol w:w="859"/>
        <w:gridCol w:w="153"/>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Films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Individual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 xml:space="preserve">Film/TV Group Monetization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Other 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Program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program cost amortization that related to investments in production that were released during the three and nine months ended September 28, 2025 were $7.4 million and $21.0 million, respectively. The Company's program cost amortization that related to investments in production that were released during the three and nine months ended September 29, 2024 were $7.9 million and $24.5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(10)</w:t>
      </w:r>
      <w:r>
        <w:rPr>
          <w:color w:val="000000"/>
        </w:rPr>
        <w:t xml:space="preserve"> </w:t>
      </w: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 ("ETR") was 23.4% and (39.8%) for the three and nine months ended September 28, 2025, respectively, and 23.1% and 24.1% for the three and nine months ended September 29, 2024, respectively. The following items impacted the ETR for 2025 and 2024: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September 28, 2025 the Company recorded a net discrete tax benefit of $5.7 million, primarily associated with the second quarter of 2025 non-cash impairment of goodwill.</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September 29, 2024 the Company recorded a net discrete tax expense of $1.1 million, primarily associated with the interest accruals on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nine months ended September 28, 2025 the Company recorded a non-cash goodwill impairment of $1,021.9 million within the Consumer Products segment with a tax benefit of $5.4 million and an unfavorable adjustment to the Loss on disposal of the eOne Film and TV business of $25.0 million with no tax benefit. The Company also recorded a net discrete tax benefit of $6.5 million, primarily associated with the release of a valuation allowance.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During the nine months ended September 29, 2024 the Company recorded unfavorable adjustments to the Loss on disposal of the eOne Film and TV business of $24.4 million with no tax benefit. The Company also recorded a net discrete tax expense of $1.8 million, primarily associated with stock-based compensation. </w:t>
      </w:r>
    </w:p>
    <w:p>
      <w:pPr>
        <w:pStyle w:val="TextBody"/>
        <w:bidi w:val="0"/>
        <w:spacing w:lineRule="auto" w:line="288" w:before="120" w:after="283"/>
        <w:jc w:val="left"/>
        <w:rPr/>
      </w:pPr>
      <w:r>
        <w:rPr>
          <w:rFonts w:ascii="Arial;sans-serif" w:hAnsi="Arial;sans-serif"/>
          <w:b w:val="false"/>
          <w:color w:val="000000"/>
          <w:sz w:val="20"/>
        </w:rPr>
        <w:t xml:space="preserve">On July 4, 2025, President Donald Trump signed into law the One Big Beautiful Bill Act ("OBBBA”). The OBBBA makes permanent key elements of the Tax Cuts and Jobs Act, including 100% bonus depreciation, domestic research cost expensing, and the business interest expense limitation. ASC Topic 740, </w:t>
      </w:r>
      <w:r>
        <w:rPr>
          <w:rFonts w:ascii="Arial;sans-serif" w:hAnsi="Arial;sans-serif"/>
          <w:b w:val="false"/>
          <w:i/>
          <w:color w:val="000000"/>
          <w:sz w:val="20"/>
        </w:rPr>
        <w:t>Income Taxes</w:t>
      </w:r>
      <w:r>
        <w:rPr>
          <w:rFonts w:ascii="Arial;sans-serif" w:hAnsi="Arial;sans-serif"/>
          <w:b w:val="false"/>
          <w:color w:val="000000"/>
          <w:sz w:val="20"/>
        </w:rPr>
        <w:t>, requires the effects of changes in tax rates and laws on deferred tax balances to be recognized in the period in which the legislation is enacted. While these changes did not have a significant impact to our annual effective tax rate, it is expected that our U.S. cash taxes will decrease in 2025 as a result of the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(11)</w:t>
      </w:r>
      <w:r>
        <w:rPr>
          <w:color w:val="000000"/>
        </w:rPr>
        <w:t xml:space="preserve"> </w:t>
      </w:r>
      <w:r>
        <w:rPr>
          <w:rFonts w:ascii="Arial;sans-serif" w:hAnsi="Arial;sans-serif"/>
          <w:b/>
          <w:color w:val="000000"/>
          <w:sz w:val="20"/>
          <w:u w:val="single"/>
        </w:rPr>
        <w:t>Fair Value of Financial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Level 1 fair values are based on quoted market prices in active markets for identical assets or liabilities that the entity has the ability to access;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Level 3 fair values are based on inputs that are supported by little or no market activity and that are significant to the fair value of the assets or liabilities.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the following assets and liabilities measured at fair value in its Consolidated Balance Sheets:</w:t>
      </w:r>
    </w:p>
    <w:tbl>
      <w:tblPr>
        <w:tblW w:w="7498" w:type="dxa"/>
        <w:jc w:val="left"/>
        <w:tblInd w:w="0" w:type="dxa"/>
        <w:tblLayout w:type="fixed"/>
        <w:tblCellMar>
          <w:top w:w="28" w:type="dxa"/>
          <w:left w:w="28" w:type="dxa"/>
          <w:bottom w:w="28" w:type="dxa"/>
          <w:right w:w="28" w:type="dxa"/>
        </w:tblCellMar>
      </w:tblPr>
      <w:tblGrid>
        <w:gridCol w:w="864"/>
        <w:gridCol w:w="758"/>
        <w:gridCol w:w="762"/>
        <w:gridCol w:w="211"/>
        <w:gridCol w:w="511"/>
        <w:gridCol w:w="109"/>
        <w:gridCol w:w="109"/>
        <w:gridCol w:w="109"/>
        <w:gridCol w:w="109"/>
        <w:gridCol w:w="217"/>
        <w:gridCol w:w="526"/>
        <w:gridCol w:w="112"/>
        <w:gridCol w:w="109"/>
        <w:gridCol w:w="109"/>
        <w:gridCol w:w="109"/>
        <w:gridCol w:w="318"/>
        <w:gridCol w:w="612"/>
        <w:gridCol w:w="166"/>
        <w:gridCol w:w="109"/>
        <w:gridCol w:w="109"/>
        <w:gridCol w:w="109"/>
        <w:gridCol w:w="369"/>
        <w:gridCol w:w="711"/>
        <w:gridCol w:w="271"/>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Using:</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September 28, 2025</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tbl>
      <w:tblPr>
        <w:tblW w:w="7685" w:type="dxa"/>
        <w:jc w:val="left"/>
        <w:tblInd w:w="0" w:type="dxa"/>
        <w:tblLayout w:type="fixed"/>
        <w:tblCellMar>
          <w:top w:w="28" w:type="dxa"/>
          <w:left w:w="28" w:type="dxa"/>
          <w:bottom w:w="28" w:type="dxa"/>
          <w:right w:w="28" w:type="dxa"/>
        </w:tblCellMar>
      </w:tblPr>
      <w:tblGrid>
        <w:gridCol w:w="864"/>
        <w:gridCol w:w="758"/>
        <w:gridCol w:w="763"/>
        <w:gridCol w:w="211"/>
        <w:gridCol w:w="616"/>
        <w:gridCol w:w="109"/>
        <w:gridCol w:w="109"/>
        <w:gridCol w:w="109"/>
        <w:gridCol w:w="109"/>
        <w:gridCol w:w="211"/>
        <w:gridCol w:w="616"/>
        <w:gridCol w:w="109"/>
        <w:gridCol w:w="109"/>
        <w:gridCol w:w="109"/>
        <w:gridCol w:w="109"/>
        <w:gridCol w:w="318"/>
        <w:gridCol w:w="612"/>
        <w:gridCol w:w="166"/>
        <w:gridCol w:w="109"/>
        <w:gridCol w:w="109"/>
        <w:gridCol w:w="109"/>
        <w:gridCol w:w="369"/>
        <w:gridCol w:w="711"/>
        <w:gridCol w:w="271"/>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Using:</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September 29,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29,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September 28, 2025, the Company held $55.9 million of available-for-sale securities, of which $55.2 million consisted of U.S. Treasury bills. These investments, which are classified as available-for-sale, are recorded at fair value within Other assets in the Company's Consolidated Balance Sheet, with unrealized gains and losses excluded from net income and deferred as components of Other comprehensive earnings (loss), net of related tax effects, until realized. At September 29, 2024, the Company held $489.3 million of U.S. Treasury bills which were classified as held-to-maturity and carried at amortized cost, and were recorded in Short-term investments in the Company's Consolidated Balance Sheet. This amount reflects the proceeds from the Company's $500.0 million debt offering completed in May 2024, which the proceeds, together with available cash, were used to repay the 2024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derivatives primarily consist of foreign currency forward and option contracts. The Company uses current forward rates of the respective foreign currencies to measure the fair value of these contracts. There were no changes in these valuation techniques during the nine months ended September 28, 2025. There were no material changes to fair value measurements of the Company's financial instruments which use significant unobservable inputs (Level 3) for nine months ended September 29, 2024.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financial instruments include cash and cash equivalents, accounts receivable, short-term borrowings, accounts payable and certain accrued liabilities. At September 28, 2025, September 29, 2024, and December 29, 2024, the carrying cost of these instruments approximated their fair value. The Company's financial instruments at September 28, 2025, September 29, 2024, and December 29, 2024 also include certain assets and liabilities measured at fair value, as described above. See Note 8, Long-Term Debt and Other Financing, to the consolidated financial statements for the fair value of the Company's outstanding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(12)</w:t>
      </w:r>
      <w:r>
        <w:rPr>
          <w:color w:val="000000"/>
        </w:rPr>
        <w:t xml:space="preserve"> </w:t>
      </w:r>
      <w:r>
        <w:rPr>
          <w:rFonts w:ascii="Arial;sans-serif" w:hAnsi="Arial;sans-serif"/>
          <w:b/>
          <w:color w:val="000000"/>
          <w:sz w:val="20"/>
          <w:u w:val="single"/>
        </w:rPr>
        <w:t>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Cash Flow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2025 and into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notional amounts and fair values of the Company's foreign currency forward contracts designated as cash flow hedging instruments were as follows:</w:t>
      </w:r>
    </w:p>
    <w:tbl>
      <w:tblPr>
        <w:tblW w:w="8616" w:type="dxa"/>
        <w:jc w:val="left"/>
        <w:tblInd w:w="0" w:type="dxa"/>
        <w:tblLayout w:type="fixed"/>
        <w:tblCellMar>
          <w:top w:w="28" w:type="dxa"/>
          <w:left w:w="28" w:type="dxa"/>
          <w:bottom w:w="28" w:type="dxa"/>
          <w:right w:w="28" w:type="dxa"/>
        </w:tblCellMar>
      </w:tblPr>
      <w:tblGrid>
        <w:gridCol w:w="652"/>
        <w:gridCol w:w="573"/>
        <w:gridCol w:w="575"/>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11"/>
        <w:gridCol w:w="40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Hedged transaction</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tbl>
      <w:tblPr>
        <w:tblW w:w="8529" w:type="dxa"/>
        <w:jc w:val="left"/>
        <w:tblInd w:w="0" w:type="dxa"/>
        <w:tblLayout w:type="fixed"/>
        <w:tblCellMar>
          <w:top w:w="28" w:type="dxa"/>
          <w:left w:w="28" w:type="dxa"/>
          <w:bottom w:w="28" w:type="dxa"/>
          <w:right w:w="28" w:type="dxa"/>
        </w:tblCellMar>
      </w:tblPr>
      <w:tblGrid>
        <w:gridCol w:w="1385"/>
        <w:gridCol w:w="1218"/>
        <w:gridCol w:w="1222"/>
        <w:gridCol w:w="384"/>
        <w:gridCol w:w="767"/>
        <w:gridCol w:w="199"/>
        <w:gridCol w:w="109"/>
        <w:gridCol w:w="109"/>
        <w:gridCol w:w="109"/>
        <w:gridCol w:w="384"/>
        <w:gridCol w:w="767"/>
        <w:gridCol w:w="199"/>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assets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liabilities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gains (losses) on cash flow hedging activities have been reclassified from other comprehensive earnings (loss) to net earnings (loss) as follows:</w:t>
      </w:r>
    </w:p>
    <w:tbl>
      <w:tblPr>
        <w:tblW w:w="9950" w:type="dxa"/>
        <w:jc w:val="left"/>
        <w:tblInd w:w="0" w:type="dxa"/>
        <w:tblLayout w:type="fixed"/>
        <w:tblCellMar>
          <w:top w:w="28" w:type="dxa"/>
          <w:left w:w="28" w:type="dxa"/>
          <w:bottom w:w="28" w:type="dxa"/>
          <w:right w:w="28" w:type="dxa"/>
        </w:tblCellMar>
      </w:tblPr>
      <w:tblGrid>
        <w:gridCol w:w="1278"/>
        <w:gridCol w:w="1122"/>
        <w:gridCol w:w="1125"/>
        <w:gridCol w:w="384"/>
        <w:gridCol w:w="767"/>
        <w:gridCol w:w="199"/>
        <w:gridCol w:w="109"/>
        <w:gridCol w:w="109"/>
        <w:gridCol w:w="109"/>
        <w:gridCol w:w="384"/>
        <w:gridCol w:w="767"/>
        <w:gridCol w:w="199"/>
        <w:gridCol w:w="109"/>
        <w:gridCol w:w="109"/>
        <w:gridCol w:w="109"/>
        <w:gridCol w:w="392"/>
        <w:gridCol w:w="754"/>
        <w:gridCol w:w="204"/>
        <w:gridCol w:w="109"/>
        <w:gridCol w:w="109"/>
        <w:gridCol w:w="109"/>
        <w:gridCol w:w="374"/>
        <w:gridCol w:w="747"/>
        <w:gridCol w:w="273"/>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Statements of Operations Classification</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(losses) gains</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Undesignated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September 28, 2025, September 29, 2024 and December 29, 2024, the total notional amounts of the Company's undesignated derivative instruments were $242.7 million, $267.4 million, and $289.6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the Company's undesignated derivative financial instruments were recorded in the Consolidated Balance Sheets as follows:</w:t>
      </w:r>
    </w:p>
    <w:tbl>
      <w:tblPr>
        <w:tblW w:w="8529" w:type="dxa"/>
        <w:jc w:val="left"/>
        <w:tblInd w:w="0" w:type="dxa"/>
        <w:tblLayout w:type="fixed"/>
        <w:tblCellMar>
          <w:top w:w="28" w:type="dxa"/>
          <w:left w:w="28" w:type="dxa"/>
          <w:bottom w:w="28" w:type="dxa"/>
          <w:right w:w="28" w:type="dxa"/>
        </w:tblCellMar>
      </w:tblPr>
      <w:tblGrid>
        <w:gridCol w:w="1385"/>
        <w:gridCol w:w="1218"/>
        <w:gridCol w:w="1222"/>
        <w:gridCol w:w="392"/>
        <w:gridCol w:w="754"/>
        <w:gridCol w:w="204"/>
        <w:gridCol w:w="109"/>
        <w:gridCol w:w="109"/>
        <w:gridCol w:w="109"/>
        <w:gridCol w:w="384"/>
        <w:gridCol w:w="767"/>
        <w:gridCol w:w="199"/>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recorded a net gain of $4.2 million and $13.4 million for three and nine months ended September 28, 2025, respectively, and a net gain of $4.5 million and $8.7 million for three and nine months ended September 29, 2024, respectively, on these instruments to Other expense (income), net relating to the change in fair value of such derivatives, substantially offsetting gains and losses from the change in fair value of intercompany loans to which the contracts relate.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see Note 6, Other Comprehensive Earnings (Loss) and Note 11, Fair Value of Financial Instruments,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(13) </w:t>
      </w:r>
      <w:r>
        <w:rPr>
          <w:rFonts w:ascii="Arial;sans-serif" w:hAnsi="Arial;sans-serif"/>
          <w:b/>
          <w:color w:val="000000"/>
          <w:sz w:val="20"/>
          <w:u w:val="single"/>
        </w:rPr>
        <w:t>Restructuring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six to nine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liability balance associated with the Program related restructuring actions consisted of severance payments recorded within Accrued liabilities in the Consolidated Balance Sheets as follows:</w:t>
      </w:r>
    </w:p>
    <w:tbl>
      <w:tblPr>
        <w:tblW w:w="6266" w:type="dxa"/>
        <w:jc w:val="left"/>
        <w:tblInd w:w="0" w:type="dxa"/>
        <w:tblLayout w:type="fixed"/>
        <w:tblCellMar>
          <w:top w:w="28" w:type="dxa"/>
          <w:left w:w="28" w:type="dxa"/>
          <w:bottom w:w="28" w:type="dxa"/>
          <w:right w:w="28" w:type="dxa"/>
        </w:tblCellMar>
      </w:tblPr>
      <w:tblGrid>
        <w:gridCol w:w="998"/>
        <w:gridCol w:w="878"/>
        <w:gridCol w:w="884"/>
        <w:gridCol w:w="341"/>
        <w:gridCol w:w="830"/>
        <w:gridCol w:w="178"/>
        <w:gridCol w:w="109"/>
        <w:gridCol w:w="109"/>
        <w:gridCol w:w="109"/>
        <w:gridCol w:w="341"/>
        <w:gridCol w:w="830"/>
        <w:gridCol w:w="178"/>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restructuring charges incurred to date under the Program, along with the estimated charges expected to be incurred on approved initiatives under the Program as of September 28, 2025:</w:t>
      </w:r>
    </w:p>
    <w:tbl>
      <w:tblPr>
        <w:tblW w:w="6111" w:type="dxa"/>
        <w:jc w:val="left"/>
        <w:tblInd w:w="0" w:type="dxa"/>
        <w:tblLayout w:type="fixed"/>
        <w:tblCellMar>
          <w:top w:w="28" w:type="dxa"/>
          <w:left w:w="28" w:type="dxa"/>
          <w:bottom w:w="28" w:type="dxa"/>
          <w:right w:w="28" w:type="dxa"/>
        </w:tblCellMar>
      </w:tblPr>
      <w:tblGrid>
        <w:gridCol w:w="1699"/>
        <w:gridCol w:w="1495"/>
        <w:gridCol w:w="1500"/>
        <w:gridCol w:w="109"/>
        <w:gridCol w:w="109"/>
        <w:gridCol w:w="109"/>
        <w:gridCol w:w="109"/>
        <w:gridCol w:w="211"/>
        <w:gridCol w:w="61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 incurred to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charges to be incurred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expected charges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(14)</w:t>
      </w:r>
      <w:r>
        <w:rPr>
          <w:color w:val="000000"/>
        </w:rPr>
        <w:t xml:space="preserve"> </w:t>
      </w:r>
      <w:r>
        <w:rPr>
          <w:rFonts w:ascii="Arial;sans-serif" w:hAnsi="Arial;sans-serif"/>
          <w:b/>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Environmental Liabilities – The Company monitors for any estimated environmental contingencies related to its current physical locations and former owned or leased facilities in which it is responsible for environmental matters. The Company has estimated a $31.1 million environmental liability related to a previously owned manufacturing facility (environmental liability assumed as part of a historical acquisition), in which the Company is solely responsible for the mitigation and remediation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Significant Not Yet Commenced Leases – During the three and nine months ended September 28, 2025, the Company entered into significant new leases that have not yet commenced with estimated aggregated future lease payments of approximately $207.3 million. These leases are expected to commence between the fourth quarter of 2025 through 2026, with initial lease terms ranging from 10 years to 12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Contractual obligations and commercial commitments, as detailed in the Company's 2024 Form 10-K, did not materially change outside of certain payments made in the normal course of business, except as disclosed above and in Note 8, Long-Term Debt and Other Financing,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(15)</w:t>
      </w:r>
      <w:r>
        <w:rPr>
          <w:color w:val="000000"/>
        </w:rPr>
        <w:t xml:space="preserve"> </w:t>
      </w:r>
      <w:r>
        <w:rPr>
          <w:rFonts w:ascii="Arial;sans-serif" w:hAnsi="Arial;sans-serif"/>
          <w:b/>
          <w:color w:val="000000"/>
          <w:sz w:val="20"/>
          <w:u w:val="single"/>
        </w:rPr>
        <w:t>Segment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reportable segments are strategic business units that offer different products and services. They are managed separately because the business requires different technology and marketing strategies. The Company's reportable segments are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Entertainment segment engages in the development and production of Hasbro-branded entertainment content including film, television, children’s programming, digital content and live entertainment focused on Hasbro-owned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which does not meet the criteria to be an operating segment,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September 28, 2025 are as follows:</w:t>
      </w:r>
    </w:p>
    <w:tbl>
      <w:tblPr>
        <w:tblW w:w="10205" w:type="dxa"/>
        <w:jc w:val="left"/>
        <w:tblInd w:w="0" w:type="dxa"/>
        <w:tblLayout w:type="fixed"/>
        <w:tblCellMar>
          <w:top w:w="28" w:type="dxa"/>
          <w:left w:w="28" w:type="dxa"/>
          <w:bottom w:w="28" w:type="dxa"/>
          <w:right w:w="28" w:type="dxa"/>
        </w:tblCellMar>
      </w:tblPr>
      <w:tblGrid>
        <w:gridCol w:w="844"/>
        <w:gridCol w:w="603"/>
        <w:gridCol w:w="608"/>
        <w:gridCol w:w="109"/>
        <w:gridCol w:w="109"/>
        <w:gridCol w:w="109"/>
        <w:gridCol w:w="409"/>
        <w:gridCol w:w="1162"/>
        <w:gridCol w:w="227"/>
        <w:gridCol w:w="109"/>
        <w:gridCol w:w="109"/>
        <w:gridCol w:w="109"/>
        <w:gridCol w:w="276"/>
        <w:gridCol w:w="788"/>
        <w:gridCol w:w="155"/>
        <w:gridCol w:w="109"/>
        <w:gridCol w:w="109"/>
        <w:gridCol w:w="109"/>
        <w:gridCol w:w="312"/>
        <w:gridCol w:w="744"/>
        <w:gridCol w:w="175"/>
        <w:gridCol w:w="109"/>
        <w:gridCol w:w="109"/>
        <w:gridCol w:w="109"/>
        <w:gridCol w:w="310"/>
        <w:gridCol w:w="736"/>
        <w:gridCol w:w="173"/>
        <w:gridCol w:w="109"/>
        <w:gridCol w:w="109"/>
        <w:gridCol w:w="109"/>
        <w:gridCol w:w="196"/>
        <w:gridCol w:w="691"/>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September 29, 2024 are as follows:</w:t>
      </w:r>
    </w:p>
    <w:tbl>
      <w:tblPr>
        <w:tblW w:w="10205" w:type="dxa"/>
        <w:jc w:val="left"/>
        <w:tblInd w:w="0" w:type="dxa"/>
        <w:tblLayout w:type="fixed"/>
        <w:tblCellMar>
          <w:top w:w="28" w:type="dxa"/>
          <w:left w:w="28" w:type="dxa"/>
          <w:bottom w:w="28" w:type="dxa"/>
          <w:right w:w="28" w:type="dxa"/>
        </w:tblCellMar>
      </w:tblPr>
      <w:tblGrid>
        <w:gridCol w:w="844"/>
        <w:gridCol w:w="603"/>
        <w:gridCol w:w="608"/>
        <w:gridCol w:w="109"/>
        <w:gridCol w:w="109"/>
        <w:gridCol w:w="109"/>
        <w:gridCol w:w="409"/>
        <w:gridCol w:w="1163"/>
        <w:gridCol w:w="227"/>
        <w:gridCol w:w="109"/>
        <w:gridCol w:w="109"/>
        <w:gridCol w:w="109"/>
        <w:gridCol w:w="276"/>
        <w:gridCol w:w="788"/>
        <w:gridCol w:w="155"/>
        <w:gridCol w:w="109"/>
        <w:gridCol w:w="109"/>
        <w:gridCol w:w="109"/>
        <w:gridCol w:w="312"/>
        <w:gridCol w:w="744"/>
        <w:gridCol w:w="175"/>
        <w:gridCol w:w="109"/>
        <w:gridCol w:w="109"/>
        <w:gridCol w:w="109"/>
        <w:gridCol w:w="303"/>
        <w:gridCol w:w="746"/>
        <w:gridCol w:w="170"/>
        <w:gridCol w:w="109"/>
        <w:gridCol w:w="109"/>
        <w:gridCol w:w="109"/>
        <w:gridCol w:w="196"/>
        <w:gridCol w:w="691"/>
        <w:gridCol w:w="160"/>
      </w:tblGrid>
      <w:tr>
        <w:trPr/>
        <w:tc>
          <w:tcPr>
            <w:tcW w:w="84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w:t>
      </w:r>
    </w:p>
    <w:p>
      <w:pPr>
        <w:pStyle w:val="TextBody"/>
        <w:bidi w:val="0"/>
        <w:spacing w:before="0" w:after="0"/>
        <w:ind w:left="0" w:right="0" w:hanging="18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nine months ended September 28, 2025 are as follows:</w:t>
      </w:r>
    </w:p>
    <w:tbl>
      <w:tblPr>
        <w:tblW w:w="10205" w:type="dxa"/>
        <w:jc w:val="left"/>
        <w:tblInd w:w="0" w:type="dxa"/>
        <w:tblLayout w:type="fixed"/>
        <w:tblCellMar>
          <w:top w:w="28" w:type="dxa"/>
          <w:left w:w="28" w:type="dxa"/>
          <w:bottom w:w="28" w:type="dxa"/>
          <w:right w:w="28" w:type="dxa"/>
        </w:tblCellMar>
      </w:tblPr>
      <w:tblGrid>
        <w:gridCol w:w="803"/>
        <w:gridCol w:w="566"/>
        <w:gridCol w:w="571"/>
        <w:gridCol w:w="109"/>
        <w:gridCol w:w="109"/>
        <w:gridCol w:w="109"/>
        <w:gridCol w:w="369"/>
        <w:gridCol w:w="1303"/>
        <w:gridCol w:w="205"/>
        <w:gridCol w:w="109"/>
        <w:gridCol w:w="109"/>
        <w:gridCol w:w="109"/>
        <w:gridCol w:w="247"/>
        <w:gridCol w:w="874"/>
        <w:gridCol w:w="137"/>
        <w:gridCol w:w="109"/>
        <w:gridCol w:w="109"/>
        <w:gridCol w:w="109"/>
        <w:gridCol w:w="312"/>
        <w:gridCol w:w="744"/>
        <w:gridCol w:w="175"/>
        <w:gridCol w:w="109"/>
        <w:gridCol w:w="109"/>
        <w:gridCol w:w="109"/>
        <w:gridCol w:w="277"/>
        <w:gridCol w:w="785"/>
        <w:gridCol w:w="155"/>
        <w:gridCol w:w="109"/>
        <w:gridCol w:w="109"/>
        <w:gridCol w:w="109"/>
        <w:gridCol w:w="196"/>
        <w:gridCol w:w="691"/>
        <w:gridCol w:w="160"/>
      </w:tblGrid>
      <w:tr>
        <w:trPr/>
        <w:tc>
          <w:tcPr>
            <w:tcW w:w="8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474.5</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3,255.4</w:t>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844.1</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w:t>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w:t>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2,001.9</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Reconciliation to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impairment of goodwill,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the Impairment of goodwill in the Consolidated Statement of Operations. Loss on disposal of business is included in Loss on disposal of business in the Consolidated Statement of Operations. Managed expenses for the Consumer Products segment included a $1,021.9 million non-cash loss associated with the impairment of the reporting units within the Consumer Products segment. See Note 5, Goodwill, to the consolidated financial statements for further information. Managed expenses for the Entertainment segment included a $25.0 million non-cash loss associated with the sale of the eOne Film and TV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nine months ended September 29, 2024 are as follows:</w:t>
      </w:r>
    </w:p>
    <w:tbl>
      <w:tblPr>
        <w:tblW w:w="10205" w:type="dxa"/>
        <w:jc w:val="left"/>
        <w:tblInd w:w="0" w:type="dxa"/>
        <w:tblLayout w:type="fixed"/>
        <w:tblCellMar>
          <w:top w:w="28" w:type="dxa"/>
          <w:left w:w="28" w:type="dxa"/>
          <w:bottom w:w="28" w:type="dxa"/>
          <w:right w:w="28" w:type="dxa"/>
        </w:tblCellMar>
      </w:tblPr>
      <w:tblGrid>
        <w:gridCol w:w="830"/>
        <w:gridCol w:w="586"/>
        <w:gridCol w:w="591"/>
        <w:gridCol w:w="109"/>
        <w:gridCol w:w="109"/>
        <w:gridCol w:w="109"/>
        <w:gridCol w:w="361"/>
        <w:gridCol w:w="1275"/>
        <w:gridCol w:w="201"/>
        <w:gridCol w:w="109"/>
        <w:gridCol w:w="109"/>
        <w:gridCol w:w="109"/>
        <w:gridCol w:w="245"/>
        <w:gridCol w:w="866"/>
        <w:gridCol w:w="136"/>
        <w:gridCol w:w="109"/>
        <w:gridCol w:w="109"/>
        <w:gridCol w:w="109"/>
        <w:gridCol w:w="280"/>
        <w:gridCol w:w="794"/>
        <w:gridCol w:w="157"/>
        <w:gridCol w:w="109"/>
        <w:gridCol w:w="109"/>
        <w:gridCol w:w="109"/>
        <w:gridCol w:w="273"/>
        <w:gridCol w:w="776"/>
        <w:gridCol w:w="153"/>
        <w:gridCol w:w="109"/>
        <w:gridCol w:w="109"/>
        <w:gridCol w:w="109"/>
        <w:gridCol w:w="196"/>
        <w:gridCol w:w="691"/>
        <w:gridCol w:w="159"/>
      </w:tblGrid>
      <w:tr>
        <w:trPr/>
        <w:tc>
          <w:tcPr>
            <w:tcW w:w="8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Cost of sales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During the nine months ended September 29, 2024, the Company recorded three non-recurring prior year adjustments: (i) a $31.1 million expense related to historical environmental liabilities that was recorded in managed expense, (ii) a $26.7 million benefit related to over-accrual of vendor commitment liabilities that was recorded in Cost of sales, and (iii) an $18.1 million benefit related to the reversal of stock compensation expense for the Company's performance stock awards that was recorded in managed expense within Corporate and Other. See Note 1, Basis of Presentation, to the consolidated financial statements for further information. Items (i) and (ii) originally related to the Consumer Products segment; however, because the non-recurring nature of these adjustments are related to historical periods and not associated with the on-going future operations of the Consumer Products segment, the Company recorded the error corrections within Corporate and Other.</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Managed expenses consist of product development, selling and administrative expense, and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 Managed expenses for the Entertainment segment included a $24.4 million loss associated with the sale of the eOne Film and TV business.</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assets information by segments is as follows:</w:t>
      </w:r>
    </w:p>
    <w:tbl>
      <w:tblPr>
        <w:tblW w:w="8121" w:type="dxa"/>
        <w:jc w:val="left"/>
        <w:tblInd w:w="0" w:type="dxa"/>
        <w:tblLayout w:type="fixed"/>
        <w:tblCellMar>
          <w:top w:w="28" w:type="dxa"/>
          <w:left w:w="28" w:type="dxa"/>
          <w:bottom w:w="28" w:type="dxa"/>
          <w:right w:w="28" w:type="dxa"/>
        </w:tblCellMar>
      </w:tblPr>
      <w:tblGrid>
        <w:gridCol w:w="1236"/>
        <w:gridCol w:w="1085"/>
        <w:gridCol w:w="1098"/>
        <w:gridCol w:w="262"/>
        <w:gridCol w:w="952"/>
        <w:gridCol w:w="135"/>
        <w:gridCol w:w="109"/>
        <w:gridCol w:w="109"/>
        <w:gridCol w:w="109"/>
        <w:gridCol w:w="262"/>
        <w:gridCol w:w="952"/>
        <w:gridCol w:w="135"/>
        <w:gridCol w:w="109"/>
        <w:gridCol w:w="109"/>
        <w:gridCol w:w="109"/>
        <w:gridCol w:w="252"/>
        <w:gridCol w:w="915"/>
        <w:gridCol w:w="183"/>
      </w:tblGrid>
      <w:tr>
        <w:trPr/>
        <w:tc>
          <w:tcPr>
            <w:tcW w:w="12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(1)</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7,229.9 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Corporate and Other consists of investments in subsidiary and intercompany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supplemental information by segments are as follows:</w:t>
      </w:r>
    </w:p>
    <w:tbl>
      <w:tblPr>
        <w:tblW w:w="10205" w:type="dxa"/>
        <w:jc w:val="left"/>
        <w:tblInd w:w="0" w:type="dxa"/>
        <w:tblLayout w:type="fixed"/>
        <w:tblCellMar>
          <w:top w:w="28" w:type="dxa"/>
          <w:left w:w="28" w:type="dxa"/>
          <w:bottom w:w="28" w:type="dxa"/>
          <w:right w:w="28" w:type="dxa"/>
        </w:tblCellMar>
      </w:tblPr>
      <w:tblGrid>
        <w:gridCol w:w="1330"/>
        <w:gridCol w:w="1157"/>
        <w:gridCol w:w="1159"/>
        <w:gridCol w:w="109"/>
        <w:gridCol w:w="109"/>
        <w:gridCol w:w="109"/>
        <w:gridCol w:w="328"/>
        <w:gridCol w:w="800"/>
        <w:gridCol w:w="171"/>
        <w:gridCol w:w="109"/>
        <w:gridCol w:w="109"/>
        <w:gridCol w:w="109"/>
        <w:gridCol w:w="328"/>
        <w:gridCol w:w="800"/>
        <w:gridCol w:w="171"/>
        <w:gridCol w:w="109"/>
        <w:gridCol w:w="109"/>
        <w:gridCol w:w="109"/>
        <w:gridCol w:w="292"/>
        <w:gridCol w:w="856"/>
        <w:gridCol w:w="153"/>
        <w:gridCol w:w="109"/>
        <w:gridCol w:w="109"/>
        <w:gridCol w:w="109"/>
        <w:gridCol w:w="288"/>
        <w:gridCol w:w="845"/>
        <w:gridCol w:w="219"/>
      </w:tblGrid>
      <w:tr>
        <w:trPr/>
        <w:tc>
          <w:tcPr>
            <w:tcW w:w="133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6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intangible asset amortization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The amounts of depreciation disclosed by reportable segments are included within cost of sales, distribution and managed expense. Intangible asset amortization is included within amortization of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ind w:left="0" w:right="0" w:firstLine="720"/>
        <w:jc w:val="left"/>
        <w:rPr>
          <w:rFonts w:ascii="Arial;sans-serif" w:hAnsi="Arial;sans-serif"/>
          <w:b/>
          <w:color w:val="000000"/>
          <w:sz w:val="20"/>
          <w:shd w:fill="FFFFFF" w:val="clear"/>
        </w:rPr>
      </w:pPr>
      <w:r>
        <w:rPr>
          <w:rFonts w:ascii="Arial;sans-serif" w:hAnsi="Arial;sans-serif"/>
          <w:b/>
          <w:color w:val="000000"/>
          <w:sz w:val="20"/>
          <w:shd w:fill="FFFFFF" w:val="clear"/>
        </w:rPr>
        <w:t>(Dollar and share amounts in tables presented in millions, unless otherwise noted)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and analysis should be read together with the accompanying unaudited consolidated financial statements and the notes thereto included in this Quarterly Report and the audited consolidated financial statements and the notes thereto in the Company's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Inc. (“Hasbro”) is a leading games, intellectual property ("IP"), and toy company whose mission is to create joy and community through the magic of play. With over 100 years of expertise, we deliver groundbreaking play experiences to kids, families, and fans around the world, through physical and digital games, video games, toys, licensed consumer products, location-based entertainment, film, TV and more.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Through our franchise-first approach, we unlock value from both new and legacy IP, including MAGIC: THE GATHERING, DUNGEONS &amp; DRAGONS, MONOPOLY, HASBRO GAMES, NERF, TRANSFORMERS, PLAY-DOH and PEPPA PIG, as well as premier partner brands. Powered by our portfolio of thousands of iconic marks and a diversified network of partners and subsidiary studios, we bring fans together wherever they are, from tabletop to screen.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before="120" w:after="283"/>
        <w:jc w:val="left"/>
        <w:rPr/>
      </w:pPr>
      <w:r>
        <w:rPr/>
      </w:r>
    </w:p>
    <w:p>
      <w:pPr>
        <w:pStyle w:val="TextBody"/>
        <w:bidi w:val="0"/>
        <w:spacing w:lineRule="auto" w:line="288" w:before="120" w:after="283"/>
        <w:jc w:val="left"/>
        <w:rPr/>
      </w:pPr>
      <w:r>
        <w:rPr>
          <w:rFonts w:ascii="Arial;sans-serif" w:hAnsi="Arial;sans-serif"/>
          <w:b w:val="false"/>
          <w:color w:val="000000"/>
          <w:sz w:val="20"/>
        </w:rPr>
        <w:t xml:space="preserve">In the first quarter of 2025, we launched our refreshed strategy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to refocus the Company on play and partnership. Through play fueled brand engagement and partner scaled co-investment, we plan to expand our consumer reach as a games, IP, and toy company. Our objective is to be one of the most profitable and diverse toy and game companies globally, powered by multi-segment and multi-generational franchises. Playing to Win includes five strategic building blocks: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Profitable Franchises:</w:t>
      </w:r>
      <w:r>
        <w:rPr>
          <w:color w:val="000000"/>
        </w:rPr>
        <w:t xml:space="preserve"> </w:t>
      </w:r>
      <w:r>
        <w:rPr>
          <w:rFonts w:ascii="Arial;sans-serif" w:hAnsi="Arial;sans-serif"/>
          <w:b w:val="false"/>
          <w:color w:val="000000"/>
          <w:sz w:val="20"/>
        </w:rPr>
        <w:t>Deliver on the fundamentals of profitable, play-focused brands, through innovation, partnership, operational excellence, managed cost-discipline and retail execution.</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Aging Up</w:t>
      </w:r>
      <w:r>
        <w:rPr>
          <w:rFonts w:ascii="Arial;sans-serif" w:hAnsi="Arial;sans-serif"/>
          <w:b w:val="false"/>
          <w:color w:val="000000"/>
          <w:sz w:val="20"/>
        </w:rPr>
        <w:t>: Expand our consumer base and drive play and collectible experiences for fans of all ages, recognizing that consumers aged 13 and above are gaining purchase share.</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Everyone Plays</w:t>
      </w:r>
      <w:r>
        <w:rPr>
          <w:rFonts w:ascii="Arial;sans-serif" w:hAnsi="Arial;sans-serif"/>
          <w:b w:val="false"/>
          <w:color w:val="000000"/>
          <w:sz w:val="20"/>
        </w:rPr>
        <w:t>: Engage across the play spectrum to where we under-index and capture new consumers across demographics and markets.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Digital and Direct:</w:t>
      </w:r>
      <w:r>
        <w:rPr>
          <w:color w:val="000000"/>
        </w:rPr>
        <w:t xml:space="preserve"> </w:t>
      </w:r>
      <w:r>
        <w:rPr>
          <w:rFonts w:ascii="Arial;sans-serif" w:hAnsi="Arial;sans-serif"/>
          <w:b w:val="false"/>
          <w:color w:val="000000"/>
          <w:sz w:val="20"/>
        </w:rPr>
        <w:t>Embrace new ways to engage with our consumers through video games, digital technology and direct-to-consumer interactions.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Partner Scale:</w:t>
      </w:r>
      <w:r>
        <w:rPr>
          <w:color w:val="000000"/>
        </w:rPr>
        <w:t xml:space="preserve"> </w:t>
      </w:r>
      <w:r>
        <w:rPr>
          <w:rFonts w:ascii="Arial;sans-serif" w:hAnsi="Arial;sans-serif"/>
          <w:b w:val="false"/>
          <w:color w:val="000000"/>
          <w:sz w:val="20"/>
        </w:rPr>
        <w:t>Drive profitable reach through strategic relationships and partnerships, including with retail, licensors and licensees.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our Playing to Win strategy, we have realigned our brand portfolios to correspond our refreshed strategy:</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Grow Brands:</w:t>
      </w:r>
      <w:r>
        <w:rPr>
          <w:color w:val="000000"/>
        </w:rPr>
        <w:t xml:space="preserve"> </w:t>
      </w:r>
      <w:r>
        <w:rPr>
          <w:rFonts w:ascii="Arial;sans-serif" w:hAnsi="Arial;sans-serif"/>
          <w:b w:val="false"/>
          <w:color w:val="000000"/>
          <w:sz w:val="20"/>
        </w:rPr>
        <w:t xml:space="preserve">Brands representing the highest margin, highest growth opportunities in categories where we see significant share and/or underlying market growth. </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Optimize Brands</w:t>
      </w:r>
      <w:r>
        <w:rPr>
          <w:rFonts w:ascii="Arial;sans-serif" w:hAnsi="Arial;sans-serif"/>
          <w:b w:val="false"/>
          <w:color w:val="000000"/>
          <w:sz w:val="20"/>
        </w:rPr>
        <w:t>: Brands representing opportunities to maintain or grow share while improving operating profit returns.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Reinvent Brands</w:t>
      </w:r>
      <w:r>
        <w:rPr>
          <w:rFonts w:ascii="Arial;sans-serif" w:hAnsi="Arial;sans-serif"/>
          <w:b w:val="false"/>
          <w:color w:val="000000"/>
          <w:sz w:val="20"/>
        </w:rPr>
        <w:t xml:space="preserve">: Brands representing opportunities to reinvent or restructure to drive innovation and improved operating profit returns.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Brands periodically are reclassified, based on changes in growth, profitability or other characteristics, and when those changes occur, the respective portfolio historical revenue is included within the new classification.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third quarter of 2025, we announced we will relocate our Rhode Island operations to 400 Summer Street in the Seaport District of Boston, Massachusetts, which is expected to occur in the fourth quarter of 2026. This new location will be the primary headquarters for our toys, board games, and licensing businesses, and a majority of our corporate services. We believe this strategic move positions us to accelerate innovation, attract top talent, and drive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long-term growth in line with our Playing to Win strategy which emphasizes play-driven engagement and collaboration with partners.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Tariffs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Significant changes in trade policy announced by the U.S. government could adversely impact our forward-looking financial results. The Company monitors the impact of tariffs to its business operations on an ongoing basis and may need to implement actions such as imposing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estimated impact of tariffs and other macroeconomic headwinds on the Company's forward-looking forecasts, in the second quarter of 2025, the Company assessed its goodwill for potential impairment, resulting in the recognition of a non-cash goodwill impairment of $1,021.9 million in the Consumer Products segment. See further detail in Note 5, Goodwill, to the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recognized approximately $20 million of tariff costs during the first nine months of 2025. While the final impact of tariffs remains uncertain, the Company continues to execute decisively against the evolving tariff backdrop. The Company is forecasting a broad range of potential outcomes and, based on updated trade policy developments, the Company has estimated $60 million of expense in our full year 2025 financial statements.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Summary of Results</w:t>
      </w:r>
    </w:p>
    <w:p>
      <w:pPr>
        <w:pStyle w:val="TextBody"/>
        <w:bidi w:val="0"/>
        <w:spacing w:lineRule="auto" w:line="288" w:before="120" w:after="283"/>
        <w:jc w:val="left"/>
        <w:rPr/>
      </w:pPr>
      <w:r>
        <w:rPr>
          <w:rFonts w:ascii="Arial;sans-serif" w:hAnsi="Arial;sans-serif"/>
          <w:b w:val="false"/>
          <w:color w:val="000000"/>
          <w:sz w:val="20"/>
        </w:rPr>
        <w:t>The Company experienced an increase in revenue from $1,281.3 million for the three months ended</w:t>
      </w:r>
      <w:r>
        <w:rPr>
          <w:color w:val="000000"/>
        </w:rPr>
        <w:t xml:space="preserve"> </w:t>
      </w:r>
      <w:r>
        <w:rPr>
          <w:rFonts w:ascii="Arial;sans-serif" w:hAnsi="Arial;sans-serif"/>
          <w:b w:val="false"/>
          <w:color w:val="000000"/>
          <w:sz w:val="20"/>
        </w:rPr>
        <w:t>September 29, 2024 compared to $1,387.5 million for the three months ended September 28, 2025, and an increase in revenue from $3,033.9 million for the nine months ended September 29, 2024 compared to $3,255.4 million for the nine months ended September 28, 2025. The increase in revenue is driven primarily by growth in our Wizards of the Coast and Digital Gaming segment, inclusive of increased demand for both tabletop and licensed digital gaming, partially offset by volume declines in our Consumer Products segment.</w:t>
      </w:r>
    </w:p>
    <w:p>
      <w:pPr>
        <w:pStyle w:val="TextBody"/>
        <w:bidi w:val="0"/>
        <w:spacing w:lineRule="auto" w:line="288" w:before="120" w:after="283"/>
        <w:jc w:val="left"/>
        <w:rPr/>
      </w:pPr>
      <w:r>
        <w:rPr>
          <w:rFonts w:ascii="Arial;sans-serif" w:hAnsi="Arial;sans-serif"/>
          <w:b w:val="false"/>
          <w:color w:val="000000"/>
          <w:sz w:val="20"/>
        </w:rPr>
        <w:t>The Company had an increase in operating profit from $301.9 million for the three months ended</w:t>
      </w:r>
      <w:r>
        <w:rPr>
          <w:color w:val="000000"/>
        </w:rPr>
        <w:t xml:space="preserve"> </w:t>
      </w:r>
      <w:r>
        <w:rPr>
          <w:rFonts w:ascii="Arial;sans-serif" w:hAnsi="Arial;sans-serif"/>
          <w:b w:val="false"/>
          <w:color w:val="000000"/>
          <w:sz w:val="20"/>
        </w:rPr>
        <w:t>September 29, 2024 compared to $341.1 million for the three months ended September 28, 2025. This increase in operating profit is primarily driven by the revenue growth discussed above, as well as benefits from cost savings initiatives that have occurred over the last 12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an operating loss of $286.4 million for the nine months ended September 28, 2025, as compared to operating profit of $630.2 million for the nine months ended September 29, 2024, primarily driven by the $1,021.9 million non-cash goodwill impairment recorded in the Consumer Products segment in the second quarter of 2025, offset by strength within the Wizards of the Coast and Digital Gaming segment during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below for further discussion on the consolidated and segment results of operations for the three and nine months ended September 28, 2025 and September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three months ended September 28, 2025 and September 29, 2024:</w:t>
      </w:r>
    </w:p>
    <w:tbl>
      <w:tblPr>
        <w:tblW w:w="10205" w:type="dxa"/>
        <w:jc w:val="left"/>
        <w:tblInd w:w="0" w:type="dxa"/>
        <w:tblLayout w:type="fixed"/>
        <w:tblCellMar>
          <w:top w:w="28" w:type="dxa"/>
          <w:left w:w="28" w:type="dxa"/>
          <w:bottom w:w="28" w:type="dxa"/>
          <w:right w:w="28" w:type="dxa"/>
        </w:tblCellMar>
      </w:tblPr>
      <w:tblGrid>
        <w:gridCol w:w="1317"/>
        <w:gridCol w:w="1052"/>
        <w:gridCol w:w="1054"/>
        <w:gridCol w:w="211"/>
        <w:gridCol w:w="766"/>
        <w:gridCol w:w="109"/>
        <w:gridCol w:w="109"/>
        <w:gridCol w:w="109"/>
        <w:gridCol w:w="109"/>
        <w:gridCol w:w="387"/>
        <w:gridCol w:w="341"/>
        <w:gridCol w:w="844"/>
        <w:gridCol w:w="109"/>
        <w:gridCol w:w="109"/>
        <w:gridCol w:w="109"/>
        <w:gridCol w:w="211"/>
        <w:gridCol w:w="766"/>
        <w:gridCol w:w="109"/>
        <w:gridCol w:w="109"/>
        <w:gridCol w:w="109"/>
        <w:gridCol w:w="109"/>
        <w:gridCol w:w="387"/>
        <w:gridCol w:w="341"/>
        <w:gridCol w:w="844"/>
        <w:gridCol w:w="109"/>
        <w:gridCol w:w="109"/>
        <w:gridCol w:w="109"/>
        <w:gridCol w:w="158"/>
      </w:tblGrid>
      <w:tr>
        <w:trPr/>
        <w:tc>
          <w:tcPr>
            <w:tcW w:w="131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w:t>
      </w:r>
      <w:r>
        <w:rPr>
          <w:color w:val="000000"/>
        </w:rPr>
        <w:t xml:space="preserve">– </w:t>
      </w:r>
      <w:r>
        <w:rPr>
          <w:rFonts w:ascii="Arial;sans-serif" w:hAnsi="Arial;sans-serif"/>
          <w:b w:val="false"/>
          <w:color w:val="000000"/>
          <w:sz w:val="20"/>
        </w:rPr>
        <w:t>Net revenues for the third quarter of 2025 increased 8.3% to $1,387.5 million from $1,281.3 million for the third quarter of 2024 primarily driven by growth of $168.0 million, or 41.6%, in the Wizards of the Coast and Digital Gaming segment, as well as a $1.4 million, or 8%, increase in the Entertainment segment. This growth was offset by a $63.2 million, or 7.3%, decrease in the Consumer Products segment. See the Segment Results discussion below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5903" w:type="dxa"/>
        <w:jc w:val="left"/>
        <w:tblInd w:w="0" w:type="dxa"/>
        <w:tblLayout w:type="fixed"/>
        <w:tblCellMar>
          <w:top w:w="28" w:type="dxa"/>
          <w:left w:w="28" w:type="dxa"/>
          <w:bottom w:w="28" w:type="dxa"/>
          <w:right w:w="28" w:type="dxa"/>
        </w:tblCellMar>
      </w:tblPr>
      <w:tblGrid>
        <w:gridCol w:w="537"/>
        <w:gridCol w:w="473"/>
        <w:gridCol w:w="475"/>
        <w:gridCol w:w="262"/>
        <w:gridCol w:w="952"/>
        <w:gridCol w:w="135"/>
        <w:gridCol w:w="109"/>
        <w:gridCol w:w="109"/>
        <w:gridCol w:w="109"/>
        <w:gridCol w:w="262"/>
        <w:gridCol w:w="952"/>
        <w:gridCol w:w="135"/>
        <w:gridCol w:w="109"/>
        <w:gridCol w:w="109"/>
        <w:gridCol w:w="109"/>
        <w:gridCol w:w="291"/>
        <w:gridCol w:w="294"/>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Net revenues in the Grow Brands portfolio increased $167.0 million, or 19.9%,</w:t>
      </w:r>
      <w:r>
        <w:rPr>
          <w:color w:val="000000"/>
        </w:rPr>
        <w:t xml:space="preserve"> </w:t>
      </w:r>
      <w:r>
        <w:rPr>
          <w:rFonts w:ascii="Arial;sans-serif" w:hAnsi="Arial;sans-serif"/>
          <w:b w:val="false"/>
          <w:color w:val="000000"/>
          <w:sz w:val="20"/>
        </w:rPr>
        <w:t xml:space="preserve">in the third quarter of 2025, compared to the third quarter of 2024. The net revenue increase primarily reflects higher net revenues from MAGIC: THE GATHERING, which grew by $163.2 million, or 55.1%, driven by strong performance of the </w:t>
      </w:r>
      <w:r>
        <w:rPr>
          <w:rFonts w:ascii="Arial;sans-serif" w:hAnsi="Arial;sans-serif"/>
          <w:b w:val="false"/>
          <w:i/>
          <w:color w:val="000000"/>
          <w:sz w:val="20"/>
        </w:rPr>
        <w:t xml:space="preserve">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20"/>
        </w:rPr>
        <w:t>Fantasy</w:t>
      </w:r>
      <w:r>
        <w:rPr>
          <w:color w:val="000000"/>
        </w:rPr>
        <w:t xml:space="preserve"> </w:t>
      </w:r>
      <w:r>
        <w:rPr>
          <w:rFonts w:ascii="Arial;sans-serif" w:hAnsi="Arial;sans-serif"/>
          <w:b w:val="false"/>
          <w:color w:val="000000"/>
          <w:sz w:val="20"/>
        </w:rPr>
        <w:t xml:space="preserve">Universes Beyond set released in June, as well as </w:t>
      </w:r>
      <w:r>
        <w:rPr>
          <w:rFonts w:ascii="Arial;sans-serif" w:hAnsi="Arial;sans-serif"/>
          <w:b w:val="false"/>
          <w:i/>
          <w:color w:val="000000"/>
          <w:sz w:val="20"/>
        </w:rPr>
        <w:t xml:space="preserve">Edges of Eternities </w:t>
      </w:r>
      <w:r>
        <w:rPr>
          <w:rFonts w:ascii="Arial;sans-serif" w:hAnsi="Arial;sans-serif"/>
          <w:b w:val="false"/>
          <w:color w:val="000000"/>
          <w:sz w:val="20"/>
        </w:rPr>
        <w:t xml:space="preserve">and </w:t>
      </w:r>
      <w:r>
        <w:rPr>
          <w:rFonts w:ascii="Arial;sans-serif" w:hAnsi="Arial;sans-serif"/>
          <w:b w:val="false"/>
          <w:i/>
          <w:color w:val="000000"/>
          <w:sz w:val="20"/>
        </w:rPr>
        <w:t xml:space="preserve">Marvel's Spider-Man </w:t>
      </w:r>
      <w:r>
        <w:rPr>
          <w:rFonts w:ascii="Arial;sans-serif" w:hAnsi="Arial;sans-serif"/>
          <w:b w:val="false"/>
          <w:color w:val="000000"/>
          <w:sz w:val="20"/>
        </w:rPr>
        <w:t>Universes Beyond sets, which released during Q3.</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Net revenues in the Optimize Brands portfolio decreased $1.3 million, or 0.6%, in the third quarter of 2025, compared to the third quarter of 2024, as moderate declines for certain brands within the category were partially offset by growth of PEPPA PIG, stemming from the launch of Baby Evie during 2025.</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Net revenues in the Reinvent Brands portfolio decreased $59.5 million, or 27.2%, in the third quarter of 2025 compared to the third quarter of 2024. The net revenue decrease is primarily driven by lower product sales for NERF, as well as lapping of licensing revenues for MY LITTLE PONY, which decreased $21.7 million, or 64.7%.</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w:t>
      </w:r>
      <w:r>
        <w:rPr>
          <w:color w:val="000000"/>
        </w:rPr>
        <w:t xml:space="preserve">– </w:t>
      </w:r>
      <w:r>
        <w:rPr>
          <w:rFonts w:ascii="Arial;sans-serif" w:hAnsi="Arial;sans-serif"/>
          <w:b w:val="false"/>
          <w:color w:val="000000"/>
          <w:sz w:val="20"/>
        </w:rPr>
        <w:t>Cost of sales for the third quarter of 2025 was $414.3 million, or 29.9% of net revenues, compared to $378.9 million, or 29.6% of net revenues, for the third quarter of 2024. The increase in cost of sales was primarily the result of an increase in net revenues period over period, as well as approximately $20 million of incremental cost related to the impacts of tariffs, primarily as it relates to products imported into the United States to be sold domestically.</w:t>
      </w:r>
    </w:p>
    <w:p>
      <w:pPr>
        <w:pStyle w:val="TextBody"/>
        <w:bidi w:val="0"/>
        <w:spacing w:lineRule="auto" w:line="288" w:before="120" w:after="283"/>
        <w:jc w:val="left"/>
        <w:rPr/>
      </w:pPr>
      <w:r>
        <w:rPr>
          <w:rFonts w:ascii="Arial;sans-serif" w:hAnsi="Arial;sans-serif"/>
          <w:b/>
          <w:color w:val="000000"/>
          <w:sz w:val="20"/>
        </w:rPr>
        <w:t xml:space="preserve">Program cost amortization </w:t>
      </w:r>
      <w:r>
        <w:rPr>
          <w:color w:val="000000"/>
        </w:rPr>
        <w:t xml:space="preserve">– </w:t>
      </w:r>
      <w:r>
        <w:rPr>
          <w:rFonts w:ascii="Arial;sans-serif" w:hAnsi="Arial;sans-serif"/>
          <w:b w:val="false"/>
          <w:color w:val="000000"/>
          <w:sz w:val="20"/>
        </w:rPr>
        <w:t>Program cost amortization decreased slightly to $7.4 million, or 0.5% of net revenues, for the third quarter of 2025 from $7.9 million, or 0.6% of net revenues, for the third quarter of 2024.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lineRule="auto" w:line="288" w:before="120" w:after="283"/>
        <w:jc w:val="left"/>
        <w:rPr/>
      </w:pPr>
      <w:r>
        <w:rPr>
          <w:rFonts w:ascii="Arial;sans-serif" w:hAnsi="Arial;sans-serif"/>
          <w:b/>
          <w:color w:val="000000"/>
          <w:sz w:val="20"/>
        </w:rPr>
        <w:t xml:space="preserve">Royalties </w:t>
      </w:r>
      <w:r>
        <w:rPr>
          <w:color w:val="000000"/>
        </w:rPr>
        <w:t xml:space="preserve">– </w:t>
      </w:r>
      <w:r>
        <w:rPr>
          <w:rFonts w:ascii="Arial;sans-serif" w:hAnsi="Arial;sans-serif"/>
          <w:b w:val="false"/>
          <w:color w:val="000000"/>
          <w:sz w:val="20"/>
        </w:rPr>
        <w:t xml:space="preserve">Royalties for the third quarter of 2025 increased to $114.3 million, or 8.2% of net revenues, compared to $98.0 million, or 7.6% of net revenues, for the third quarter of 2024. The increase in Royalties during the third quarter of 2025 was directly driven by an increase in sales relating to MAGIC: THE GATHERING Universes Beyond sets, including </w:t>
      </w:r>
      <w:r>
        <w:rPr>
          <w:rFonts w:ascii="Arial;sans-serif" w:hAnsi="Arial;sans-serif"/>
          <w:b w:val="false"/>
          <w:i/>
          <w:color w:val="000000"/>
          <w:sz w:val="20"/>
        </w:rPr>
        <w:t xml:space="preserve">Final Fantasy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pPr>
      <w:r>
        <w:rPr>
          <w:rFonts w:ascii="Arial;sans-serif" w:hAnsi="Arial;sans-serif"/>
          <w:b/>
          <w:color w:val="000000"/>
          <w:sz w:val="20"/>
        </w:rPr>
        <w:t xml:space="preserve">Product development </w:t>
      </w:r>
      <w:r>
        <w:rPr>
          <w:color w:val="000000"/>
        </w:rPr>
        <w:t xml:space="preserve">– </w:t>
      </w:r>
      <w:r>
        <w:rPr>
          <w:rFonts w:ascii="Arial;sans-serif" w:hAnsi="Arial;sans-serif"/>
          <w:b w:val="false"/>
          <w:color w:val="000000"/>
          <w:sz w:val="20"/>
        </w:rPr>
        <w:t xml:space="preserve">Product development expense for the third quarter of 2025 was $97.6 million, or 7.0% of net revenues, compared to $76.3 million, or 6.0% of net revenues, for the third quarter of 2024. The increase in Product development expense during the third quarter of 2025 was primarily due to higher incremental investment in the development of Grow Brands under the Company's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strategy.</w:t>
      </w:r>
    </w:p>
    <w:p>
      <w:pPr>
        <w:pStyle w:val="TextBody"/>
        <w:bidi w:val="0"/>
        <w:spacing w:lineRule="auto" w:line="288" w:before="120" w:after="283"/>
        <w:jc w:val="left"/>
        <w:rPr/>
      </w:pPr>
      <w:r>
        <w:rPr>
          <w:rFonts w:ascii="Arial;sans-serif" w:hAnsi="Arial;sans-serif"/>
          <w:b/>
          <w:color w:val="000000"/>
          <w:sz w:val="20"/>
        </w:rPr>
        <w:t xml:space="preserve">Advertising </w:t>
      </w:r>
      <w:r>
        <w:rPr>
          <w:color w:val="000000"/>
        </w:rPr>
        <w:t xml:space="preserve">– </w:t>
      </w:r>
      <w:r>
        <w:rPr>
          <w:rFonts w:ascii="Arial;sans-serif" w:hAnsi="Arial;sans-serif"/>
          <w:b w:val="false"/>
          <w:color w:val="000000"/>
          <w:sz w:val="20"/>
        </w:rPr>
        <w:t>Advertising expense for the third quarter of 2025 was $108.3 million, or 7.8% of net revenues, compared to $101.9 million, or 8.0% of net revenues, for the third quarter of 2024. The Advertising expense increase during the third quarter of 2025 was primarily driven by additional spend necessary to support top line growth opportunities within the Grow Brands category, specifically within the Wizards of the Coast and Digital Gaming segment.</w:t>
      </w:r>
    </w:p>
    <w:p>
      <w:pPr>
        <w:pStyle w:val="TextBody"/>
        <w:bidi w:val="0"/>
        <w:spacing w:lineRule="auto" w:line="288" w:before="120" w:after="283"/>
        <w:jc w:val="left"/>
        <w:rPr/>
      </w:pPr>
      <w:r>
        <w:rPr>
          <w:rFonts w:ascii="Arial;sans-serif" w:hAnsi="Arial;sans-serif"/>
          <w:b/>
          <w:color w:val="000000"/>
          <w:sz w:val="20"/>
        </w:rPr>
        <w:t xml:space="preserve">Amortization of intangible assets </w:t>
      </w:r>
      <w:r>
        <w:rPr>
          <w:color w:val="000000"/>
        </w:rPr>
        <w:t xml:space="preserve">– </w:t>
      </w:r>
      <w:r>
        <w:rPr>
          <w:rFonts w:ascii="Arial;sans-serif" w:hAnsi="Arial;sans-serif"/>
          <w:b w:val="false"/>
          <w:color w:val="000000"/>
          <w:sz w:val="20"/>
        </w:rPr>
        <w:t>Amortization of intangible assets remained flat at $17.2 million, or 1.2% of net revenues, for the third quarter of 2025, compared to $17.1 million, or 1.3% of net revenues, for the third quarter of 2024. The amortization expense was driven by the straight-line amortization of the Company's remaining definite-lived intangible assets.</w:t>
      </w:r>
    </w:p>
    <w:p>
      <w:pPr>
        <w:pStyle w:val="TextBody"/>
        <w:bidi w:val="0"/>
        <w:spacing w:lineRule="auto" w:line="288" w:before="120" w:after="283"/>
        <w:jc w:val="left"/>
        <w:rPr/>
      </w:pPr>
      <w:r>
        <w:rPr>
          <w:rFonts w:ascii="Arial;sans-serif" w:hAnsi="Arial;sans-serif"/>
          <w:b/>
          <w:color w:val="000000"/>
          <w:sz w:val="20"/>
        </w:rPr>
        <w:t xml:space="preserve">Selling, distribution and administration </w:t>
      </w:r>
      <w:r>
        <w:rPr>
          <w:color w:val="000000"/>
        </w:rPr>
        <w:t xml:space="preserve">– </w:t>
      </w:r>
      <w:r>
        <w:rPr>
          <w:rFonts w:ascii="Arial;sans-serif" w:hAnsi="Arial;sans-serif"/>
          <w:b w:val="false"/>
          <w:color w:val="000000"/>
          <w:sz w:val="20"/>
        </w:rPr>
        <w:t>Selling, distribution and administration expenses decreased to $287.3 million, or 20.7% of net revenues for the third quarter of 2025, from $299.3 million, or 23.4% of net revenues, for the third quarter of 2024. The decrease in Selling, distribution and administration expenses during the third quarter of 2025 is primarily the result of benefits from cost savings initiatives that have occurred over the last 12 months.</w:t>
      </w:r>
    </w:p>
    <w:p>
      <w:pPr>
        <w:pStyle w:val="TextBody"/>
        <w:bidi w:val="0"/>
        <w:spacing w:lineRule="auto" w:line="288" w:before="120" w:after="283"/>
        <w:jc w:val="left"/>
        <w:rPr/>
      </w:pPr>
      <w:r>
        <w:rPr>
          <w:rFonts w:ascii="Arial;sans-serif" w:hAnsi="Arial;sans-serif"/>
          <w:b/>
          <w:color w:val="000000"/>
          <w:sz w:val="20"/>
        </w:rPr>
        <w:t xml:space="preserve">Operating profit </w:t>
      </w:r>
      <w:r>
        <w:rPr>
          <w:color w:val="000000"/>
        </w:rPr>
        <w:t xml:space="preserve">– </w:t>
      </w:r>
      <w:r>
        <w:rPr>
          <w:rFonts w:ascii="Arial;sans-serif" w:hAnsi="Arial;sans-serif"/>
          <w:b w:val="false"/>
          <w:color w:val="000000"/>
          <w:sz w:val="20"/>
        </w:rPr>
        <w:t>Operating profit for the third quarter of 2025 was $341.1 million, or 24.6% of net revenues, compared to operating profit of $301.9 million, or 23.6% of net revenues, for the third quarter of 2024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 (INCOME)</w:t>
      </w:r>
    </w:p>
    <w:p>
      <w:pPr>
        <w:pStyle w:val="TextBody"/>
        <w:bidi w:val="0"/>
        <w:spacing w:lineRule="auto" w:line="288" w:before="120" w:after="283"/>
        <w:jc w:val="left"/>
        <w:rPr/>
      </w:pPr>
      <w:r>
        <w:rPr>
          <w:rFonts w:ascii="Arial;sans-serif" w:hAnsi="Arial;sans-serif"/>
          <w:b/>
          <w:color w:val="000000"/>
          <w:sz w:val="20"/>
        </w:rPr>
        <w:t xml:space="preserve">Interest expense </w:t>
      </w:r>
      <w:r>
        <w:rPr>
          <w:color w:val="000000"/>
        </w:rPr>
        <w:t xml:space="preserve">– </w:t>
      </w:r>
      <w:r>
        <w:rPr>
          <w:rFonts w:ascii="Arial;sans-serif" w:hAnsi="Arial;sans-serif"/>
          <w:b w:val="false"/>
          <w:color w:val="000000"/>
          <w:sz w:val="20"/>
        </w:rPr>
        <w:t xml:space="preserve">Interest expense for the third quarter of 2025 totaled $40.8 million compared to $46.2 million in the third quarter of 2024. The decrease in Interest expense primarily reflects lower outstanding borrowings existing as of the end of the third quarter of 2025 as compared to those outstanding as of the third quarter of 2024. </w:t>
      </w:r>
    </w:p>
    <w:p>
      <w:pPr>
        <w:pStyle w:val="TextBody"/>
        <w:bidi w:val="0"/>
        <w:spacing w:lineRule="auto" w:line="288" w:before="120" w:after="283"/>
        <w:jc w:val="left"/>
        <w:rPr/>
      </w:pPr>
      <w:r>
        <w:rPr>
          <w:rFonts w:ascii="Arial;sans-serif" w:hAnsi="Arial;sans-serif"/>
          <w:b/>
          <w:color w:val="000000"/>
          <w:sz w:val="20"/>
        </w:rPr>
        <w:t xml:space="preserve">Interest income </w:t>
      </w:r>
      <w:r>
        <w:rPr>
          <w:color w:val="000000"/>
        </w:rPr>
        <w:t xml:space="preserve">– </w:t>
      </w:r>
      <w:r>
        <w:rPr>
          <w:rFonts w:ascii="Arial;sans-serif" w:hAnsi="Arial;sans-serif"/>
          <w:b w:val="false"/>
          <w:color w:val="000000"/>
          <w:sz w:val="20"/>
        </w:rPr>
        <w:t>Interest income was $6.3 million for the third quarter of 2025, compared to $14.7 million in the third quarter of 2024. Lower Interest income in 2025 primarily reflects the Company's investments in treasury bills, which were substantially higher in 2024 as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Other expense (income), net </w:t>
      </w:r>
      <w:r>
        <w:rPr>
          <w:color w:val="000000"/>
        </w:rPr>
        <w:t xml:space="preserve">– </w:t>
      </w:r>
      <w:r>
        <w:rPr>
          <w:rFonts w:ascii="Arial;sans-serif" w:hAnsi="Arial;sans-serif"/>
          <w:b w:val="false"/>
          <w:color w:val="000000"/>
          <w:sz w:val="20"/>
        </w:rPr>
        <w:t>Other expense (income), net resulted in expense of $1.4 million for the third quarter of 2025, compared to income of $19.9 million in the third quarter of 2024. The change in Other expense (income), net during 2025 was driven primarily by variations in the movement of foreign currencies in the third quarter of 2025 when compared to the third quarter of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expense totaled $71.3 million on a pre-tax income of $305.2 million in the third quarter of 2025 compared to an income tax expense of $67.0 million on pre-tax income of $290.3 million in the third quarter of 2024. Both periods were impacted by discrete tax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third quarter of 2025, the Company recorded a net discrete tax benefit of $5.7 million primarily associated with a benefit related to the impairment of goodwill, recorded in the second quarter of 2025, compared to a net discrete tax expense of $1.1 million in the third quarter of 2024 primarily associated with interest accruals on uncertain tax positions. Refer to Note 5, Goodwill, to the consolidated financial statements for further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third quarter of 2025 and 2024 were 25.2% and 22.7%, respectively. The increase in the base rate to 25.2% for the third quarter of 2025 relative to the third quarter of 2024 is primarily due to the mix of jurisdictions where the Company earned its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for the Company's reportable segments:</w:t>
      </w:r>
    </w:p>
    <w:tbl>
      <w:tblPr>
        <w:tblW w:w="7943" w:type="dxa"/>
        <w:jc w:val="left"/>
        <w:tblInd w:w="0" w:type="dxa"/>
        <w:tblLayout w:type="fixed"/>
        <w:tblCellMar>
          <w:top w:w="28" w:type="dxa"/>
          <w:left w:w="28" w:type="dxa"/>
          <w:bottom w:w="28" w:type="dxa"/>
          <w:right w:w="28" w:type="dxa"/>
        </w:tblCellMar>
      </w:tblPr>
      <w:tblGrid>
        <w:gridCol w:w="1239"/>
        <w:gridCol w:w="1089"/>
        <w:gridCol w:w="1092"/>
        <w:gridCol w:w="262"/>
        <w:gridCol w:w="952"/>
        <w:gridCol w:w="135"/>
        <w:gridCol w:w="109"/>
        <w:gridCol w:w="109"/>
        <w:gridCol w:w="109"/>
        <w:gridCol w:w="262"/>
        <w:gridCol w:w="952"/>
        <w:gridCol w:w="135"/>
        <w:gridCol w:w="109"/>
        <w:gridCol w:w="109"/>
        <w:gridCol w:w="109"/>
        <w:gridCol w:w="343"/>
        <w:gridCol w:w="347"/>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profit:</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Operating profit</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w:t>
      </w:r>
    </w:p>
    <w:tbl>
      <w:tblPr>
        <w:tblW w:w="6835" w:type="dxa"/>
        <w:jc w:val="left"/>
        <w:tblInd w:w="0" w:type="dxa"/>
        <w:tblLayout w:type="fixed"/>
        <w:tblCellMar>
          <w:top w:w="28" w:type="dxa"/>
          <w:left w:w="28" w:type="dxa"/>
          <w:bottom w:w="28" w:type="dxa"/>
          <w:right w:w="28" w:type="dxa"/>
        </w:tblCellMar>
      </w:tblPr>
      <w:tblGrid>
        <w:gridCol w:w="900"/>
        <w:gridCol w:w="793"/>
        <w:gridCol w:w="796"/>
        <w:gridCol w:w="303"/>
        <w:gridCol w:w="888"/>
        <w:gridCol w:w="159"/>
        <w:gridCol w:w="109"/>
        <w:gridCol w:w="109"/>
        <w:gridCol w:w="109"/>
        <w:gridCol w:w="303"/>
        <w:gridCol w:w="888"/>
        <w:gridCol w:w="159"/>
        <w:gridCol w:w="109"/>
        <w:gridCol w:w="109"/>
        <w:gridCol w:w="109"/>
        <w:gridCol w:w="255"/>
        <w:gridCol w:w="256"/>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41.6% in the third quarter of 2025 to $572.0 million from $404.0 million in the third quarter of 2024. The net revenue increase in the Wizards of the Coast and Digital Gaming segment during the third quarter of 2025 was primarily attributable to increase in Tabletop Gaming revenue which increased 48.9% behind growth in MAGIC: THE GATHERING Universes Beyond sets, primarily due to strong demand for </w:t>
      </w:r>
      <w:r>
        <w:rPr>
          <w:rFonts w:ascii="Arial;sans-serif" w:hAnsi="Arial;sans-serif"/>
          <w:b w:val="false"/>
          <w:i/>
          <w:color w:val="000000"/>
          <w:sz w:val="20"/>
        </w:rPr>
        <w:t xml:space="preserve">Final Fantasy, Edge of Eternities,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as well as other various backlist titles. This growth was accompanied by an increase in digital licensing revenue related to </w:t>
      </w:r>
      <w:r>
        <w:rPr>
          <w:rFonts w:ascii="Arial;sans-serif" w:hAnsi="Arial;sans-serif"/>
          <w:b w:val="false"/>
          <w:i/>
          <w:color w:val="000000"/>
          <w:sz w:val="20"/>
        </w:rPr>
        <w:t xml:space="preserve">MONOPOLY GO!, </w:t>
      </w:r>
      <w:r>
        <w:rPr>
          <w:rFonts w:ascii="Arial;sans-serif" w:hAnsi="Arial;sans-serif"/>
          <w:b w:val="false"/>
          <w:color w:val="000000"/>
          <w:sz w:val="20"/>
        </w:rPr>
        <w:t>which contributed $43.1 million of revenue during the quarter</w:t>
      </w:r>
      <w:r>
        <w:rPr>
          <w:rFonts w:ascii="Arial;sans-serif" w:hAnsi="Arial;sans-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operating profit was $251.5 million, or 44.0% of segment net revenues for the third quarter of 2025, compared to operating profit of $181.2 million, or 44.9% of segment net revenues, for the third quarter of 2024. Operating profit increased during the third quarter of 2025 due to increased net revenues, as discussed above, while operating margin decreased slightly as a result of an increased royalty expense, driven by the success of MAGIC: THE GATHERING Universes Beyond sets such as </w:t>
      </w:r>
      <w:r>
        <w:rPr>
          <w:rFonts w:ascii="Arial;sans-serif" w:hAnsi="Arial;sans-serif"/>
          <w:b w:val="false"/>
          <w:i/>
          <w:color w:val="000000"/>
          <w:sz w:val="20"/>
        </w:rPr>
        <w:t xml:space="preserve">Final Fantasy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w:t>
      </w:r>
    </w:p>
    <w:tbl>
      <w:tblPr>
        <w:tblW w:w="5710" w:type="dxa"/>
        <w:jc w:val="left"/>
        <w:tblInd w:w="0" w:type="dxa"/>
        <w:tblLayout w:type="fixed"/>
        <w:tblCellMar>
          <w:top w:w="28" w:type="dxa"/>
          <w:left w:w="28" w:type="dxa"/>
          <w:bottom w:w="28" w:type="dxa"/>
          <w:right w:w="28" w:type="dxa"/>
        </w:tblCellMar>
      </w:tblPr>
      <w:tblGrid>
        <w:gridCol w:w="467"/>
        <w:gridCol w:w="410"/>
        <w:gridCol w:w="413"/>
        <w:gridCol w:w="303"/>
        <w:gridCol w:w="888"/>
        <w:gridCol w:w="159"/>
        <w:gridCol w:w="109"/>
        <w:gridCol w:w="109"/>
        <w:gridCol w:w="109"/>
        <w:gridCol w:w="303"/>
        <w:gridCol w:w="888"/>
        <w:gridCol w:w="159"/>
        <w:gridCol w:w="109"/>
        <w:gridCol w:w="109"/>
        <w:gridCol w:w="109"/>
        <w:gridCol w:w="290"/>
        <w:gridCol w:w="295"/>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Consumer Products segment net revenues decreased 7% to $796.9 million for the third quarter of 2025 compared to $860.1 million for the third quarter of 2024, primarily driven by broader industry trends and timing of retail orders. The net revenue decrease primarily reflects lower net revenues driven by declining sales volumes for certain Reinvent Brands, such as NERF, and lapping of licensing revenue related to MY LITTLE PONY, which decreased $21.7 million, or 64.7%. Declines in the North America, Asia Pacific, and Latin American geographic regions were offset by an increase of 12% across Europe, which returned to growth in the quarter.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profit for the third quarter of 2025 was $80.1 million, or 10.1% of segment net revenues, compared to a segment operating profit of $121.0 million, or 14.1% of segment net revenues, for the third quarter of 2024. The decrease in operating profit in the third quarter of 2025 was driven by a decrease in net revenues, as well as increased costs associated with tariffs of approximately $20 million.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w:t>
      </w:r>
    </w:p>
    <w:tbl>
      <w:tblPr>
        <w:tblW w:w="5634" w:type="dxa"/>
        <w:jc w:val="left"/>
        <w:tblInd w:w="0" w:type="dxa"/>
        <w:tblLayout w:type="fixed"/>
        <w:tblCellMar>
          <w:top w:w="28" w:type="dxa"/>
          <w:left w:w="28" w:type="dxa"/>
          <w:bottom w:w="28" w:type="dxa"/>
          <w:right w:w="28" w:type="dxa"/>
        </w:tblCellMar>
      </w:tblPr>
      <w:tblGrid>
        <w:gridCol w:w="465"/>
        <w:gridCol w:w="410"/>
        <w:gridCol w:w="415"/>
        <w:gridCol w:w="341"/>
        <w:gridCol w:w="830"/>
        <w:gridCol w:w="178"/>
        <w:gridCol w:w="109"/>
        <w:gridCol w:w="109"/>
        <w:gridCol w:w="109"/>
        <w:gridCol w:w="341"/>
        <w:gridCol w:w="830"/>
        <w:gridCol w:w="178"/>
        <w:gridCol w:w="109"/>
        <w:gridCol w:w="109"/>
        <w:gridCol w:w="109"/>
        <w:gridCol w:w="255"/>
        <w:gridCol w:w="256"/>
        <w:gridCol w:w="48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increased 8.1% to $18.6 million for the third quarter of 2025, compared to $17.2 million for the third quarter of 2024. The net revenue increase in the Entertainment segment during the third quarter of 2025 was driven primarily by the timing of entertainment streaming renewals and momentum relating to investments in the PEPPA PIG brand.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$7.5 million, or 40.3% of segment net revenues for the third quarter of 2025, compared to an operating profit of $9.8 million, or 57.0% of segment net revenues for the third quarter of 2024. The decrease in operating profit in Entertainment segment operating results during the third quarter of 2025 was driven by a decrease in royalty income allocated to the Entertainment segment, driven by the decreased sales volumes within the Consumer Products segment as discussed above.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operating profit was $2.0 million for the third quarter of 2025 compared to an operating loss of $10.1 million for the third quarter of 2024. The increase in operating profit in the third quarter of 2025 as compared to the third quarter of 2024 primarily reflects the impacts of cost saving initiatives at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nine months ended September 28, 2025 and September 29, 2024:</w:t>
      </w:r>
    </w:p>
    <w:tbl>
      <w:tblPr>
        <w:tblW w:w="10205" w:type="dxa"/>
        <w:jc w:val="left"/>
        <w:tblInd w:w="0" w:type="dxa"/>
        <w:tblLayout w:type="fixed"/>
        <w:tblCellMar>
          <w:top w:w="28" w:type="dxa"/>
          <w:left w:w="28" w:type="dxa"/>
          <w:bottom w:w="28" w:type="dxa"/>
          <w:right w:w="28" w:type="dxa"/>
        </w:tblCellMar>
      </w:tblPr>
      <w:tblGrid>
        <w:gridCol w:w="1317"/>
        <w:gridCol w:w="1052"/>
        <w:gridCol w:w="1054"/>
        <w:gridCol w:w="211"/>
        <w:gridCol w:w="766"/>
        <w:gridCol w:w="109"/>
        <w:gridCol w:w="109"/>
        <w:gridCol w:w="109"/>
        <w:gridCol w:w="109"/>
        <w:gridCol w:w="387"/>
        <w:gridCol w:w="341"/>
        <w:gridCol w:w="844"/>
        <w:gridCol w:w="109"/>
        <w:gridCol w:w="109"/>
        <w:gridCol w:w="109"/>
        <w:gridCol w:w="211"/>
        <w:gridCol w:w="766"/>
        <w:gridCol w:w="109"/>
        <w:gridCol w:w="109"/>
        <w:gridCol w:w="109"/>
        <w:gridCol w:w="109"/>
        <w:gridCol w:w="387"/>
        <w:gridCol w:w="341"/>
        <w:gridCol w:w="844"/>
        <w:gridCol w:w="109"/>
        <w:gridCol w:w="109"/>
        <w:gridCol w:w="109"/>
        <w:gridCol w:w="158"/>
      </w:tblGrid>
      <w:tr>
        <w:trPr/>
        <w:tc>
          <w:tcPr>
            <w:tcW w:w="131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earnings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earnings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earnings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earnings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w:t>
      </w:r>
      <w:r>
        <w:rPr>
          <w:color w:val="000000"/>
        </w:rPr>
        <w:t xml:space="preserve">– </w:t>
      </w:r>
      <w:r>
        <w:rPr>
          <w:rFonts w:ascii="Arial;sans-serif" w:hAnsi="Arial;sans-serif"/>
          <w:b w:val="false"/>
          <w:color w:val="000000"/>
          <w:sz w:val="20"/>
        </w:rPr>
        <w:t>Net revenues for the first nine months of 2025 increased 7.3% to $3,255.4 million from $3,033.9 million for the first nine months of 2024, primarily driven by a $384.2 million, or 32.8%, increase in the Wizards of the Coast and Digital Gaming segment, partially offset by a $160.0 million, or 8.9%, decrease in the Consumer Products segment and a $2.7 million, or 4.2%, decrease in the Entertainment segment. See the Segment Results discussion below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5903" w:type="dxa"/>
        <w:jc w:val="left"/>
        <w:tblInd w:w="0" w:type="dxa"/>
        <w:tblLayout w:type="fixed"/>
        <w:tblCellMar>
          <w:top w:w="28" w:type="dxa"/>
          <w:left w:w="28" w:type="dxa"/>
          <w:bottom w:w="28" w:type="dxa"/>
          <w:right w:w="28" w:type="dxa"/>
        </w:tblCellMar>
      </w:tblPr>
      <w:tblGrid>
        <w:gridCol w:w="537"/>
        <w:gridCol w:w="473"/>
        <w:gridCol w:w="475"/>
        <w:gridCol w:w="262"/>
        <w:gridCol w:w="952"/>
        <w:gridCol w:w="135"/>
        <w:gridCol w:w="109"/>
        <w:gridCol w:w="109"/>
        <w:gridCol w:w="109"/>
        <w:gridCol w:w="262"/>
        <w:gridCol w:w="952"/>
        <w:gridCol w:w="135"/>
        <w:gridCol w:w="109"/>
        <w:gridCol w:w="109"/>
        <w:gridCol w:w="109"/>
        <w:gridCol w:w="291"/>
        <w:gridCol w:w="294"/>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 xml:space="preserve">Net revenues in the Grow Brands portfolio increased $326.6 million, or 15.8%, in the first nine months of 2025, compared to the first nine months of 2024. The net revenue increase primarily reflects higher net revenues from MAGIC: THE GATHERING, which grew by $347.6 million, or 39.9%, driven by strong performance of Universes Beyond sets such as </w:t>
      </w:r>
      <w:r>
        <w:rPr>
          <w:rFonts w:ascii="Arial;sans-serif" w:hAnsi="Arial;sans-serif"/>
          <w:b w:val="false"/>
          <w:i/>
          <w:color w:val="000000"/>
          <w:sz w:val="20"/>
        </w:rPr>
        <w:t>Final Fantasy,</w:t>
      </w:r>
      <w:r>
        <w:rPr>
          <w:color w:val="000000"/>
        </w:rPr>
        <w:t xml:space="preserve"> </w:t>
      </w:r>
      <w:r>
        <w:rPr>
          <w:rFonts w:ascii="Arial;sans-serif" w:hAnsi="Arial;sans-serif"/>
          <w:b w:val="false"/>
          <w:i/>
          <w:color w:val="000000"/>
          <w:sz w:val="20"/>
        </w:rPr>
        <w:t xml:space="preserve">Edges of Eternities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xml:space="preserve">. This growth was accompanied by an increase in MONOPOLY product sales and digital game licensing revenues related to </w:t>
      </w:r>
      <w:r>
        <w:rPr>
          <w:rFonts w:ascii="Arial;sans-serif" w:hAnsi="Arial;sans-serif"/>
          <w:b w:val="false"/>
          <w:i/>
          <w:color w:val="000000"/>
          <w:sz w:val="20"/>
        </w:rPr>
        <w:t>MONOPOLY GO!</w:t>
      </w:r>
      <w:r>
        <w:rPr>
          <w:rFonts w:ascii="Arial;sans-serif" w:hAnsi="Arial;sans-serif"/>
          <w:b w:val="false"/>
          <w:color w:val="000000"/>
          <w:sz w:val="20"/>
        </w:rPr>
        <w:t>, offset by lower net revenues from PLAY-DOH and other Hasbro Gaming products.</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Net revenues in the Optimize Brands portfolio decreased $20.5 million, or 3.9%, in the first nine months of 2025, compared to the first nine months of 2024. The net revenue decrease is primarily driven by lower net revenues from PEPPA PIG and STAR WARS products, partially offset by an increase in net revenue from DUEL MASTERS products.</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Net revenues in the Reinvent Brands portfolio decreased $84.6 million, or 19.3%, in the first nine months of 2025 compared to the first nine months of 2024. The net revenue decrease is primarily driven by lower product sales for NERF, as well as lapping of licensing revenues for MY LITTLE PONY of $12.6 million, or 24.6%, partially offset by an increase in net revenues from BEYBLADE products, following the Company's successful reintroduction of the brand.</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w:t>
      </w:r>
      <w:r>
        <w:rPr>
          <w:color w:val="000000"/>
        </w:rPr>
        <w:t xml:space="preserve">– </w:t>
      </w:r>
      <w:r>
        <w:rPr>
          <w:rFonts w:ascii="Arial;sans-serif" w:hAnsi="Arial;sans-serif"/>
          <w:b w:val="false"/>
          <w:color w:val="000000"/>
          <w:sz w:val="20"/>
        </w:rPr>
        <w:t>Cost of sales for the first nine months of 2025 was $844.1 million, or 25.9% of net revenues, compared to $820.8 million, or 27.1% of net revenues, for the first nine months of 2024. The increase in Cost of sales was driven by increased sales volumes, as well as approximately $20 million of tariff costs, offset by the 2024 recording of a non-recurring $26.7 million benefit related to a historical over-accrual of vendor commitment liabilities as discussed in Note 1, Basis of Presentation, to the consolidated financial statements. Cost of sales as a percentage of net revenues decreased as a result of supply chain efficiencies and favorable product mix.</w:t>
      </w:r>
    </w:p>
    <w:p>
      <w:pPr>
        <w:pStyle w:val="TextBody"/>
        <w:bidi w:val="0"/>
        <w:spacing w:lineRule="auto" w:line="288" w:before="120" w:after="283"/>
        <w:jc w:val="left"/>
        <w:rPr/>
      </w:pPr>
      <w:r>
        <w:rPr>
          <w:rFonts w:ascii="Arial;sans-serif" w:hAnsi="Arial;sans-serif"/>
          <w:b/>
          <w:color w:val="000000"/>
          <w:sz w:val="20"/>
        </w:rPr>
        <w:t xml:space="preserve">Program cost amortization </w:t>
      </w:r>
      <w:r>
        <w:rPr>
          <w:color w:val="000000"/>
        </w:rPr>
        <w:t xml:space="preserve">– </w:t>
      </w:r>
      <w:r>
        <w:rPr>
          <w:rFonts w:ascii="Arial;sans-serif" w:hAnsi="Arial;sans-serif"/>
          <w:b w:val="false"/>
          <w:color w:val="000000"/>
          <w:sz w:val="20"/>
        </w:rPr>
        <w:t xml:space="preserve">Program cost amortization decreased to $21.0 million, or 0.6% of net revenues, for the first nine months of 2025 from $24.5 million, or 0.8% of net revenues, for the first nine months of 2024. </w:t>
      </w:r>
    </w:p>
    <w:p>
      <w:pPr>
        <w:pStyle w:val="TextBody"/>
        <w:bidi w:val="0"/>
        <w:spacing w:lineRule="auto" w:line="288" w:before="120" w:after="283"/>
        <w:jc w:val="left"/>
        <w:rPr/>
      </w:pPr>
      <w:r>
        <w:rPr>
          <w:rFonts w:ascii="Arial;sans-serif" w:hAnsi="Arial;sans-serif"/>
          <w:b/>
          <w:color w:val="000000"/>
          <w:sz w:val="20"/>
        </w:rPr>
        <w:t xml:space="preserve">Royalties </w:t>
      </w:r>
      <w:r>
        <w:rPr>
          <w:color w:val="000000"/>
        </w:rPr>
        <w:t xml:space="preserve">– </w:t>
      </w:r>
      <w:r>
        <w:rPr>
          <w:rFonts w:ascii="Arial;sans-serif" w:hAnsi="Arial;sans-serif"/>
          <w:b w:val="false"/>
          <w:color w:val="000000"/>
          <w:sz w:val="20"/>
        </w:rPr>
        <w:t xml:space="preserve">Royalties for the first nine months of 2025 increased to $255.8 million, or 7.9% of net revenues, compared to $204.2 million, or 6.7% of net revenues, for the first nine months of 2024. Fluctuations in Royalties are generally related to the volume of content releases and deliveries and entertainment-driven products sold. The increase in Royalties for the first nine months of 2025 was directly driven by an increase in sales relating to MAGIC: THE GATHERING Universes Beyond sets, such as </w:t>
      </w:r>
      <w:r>
        <w:rPr>
          <w:rFonts w:ascii="Arial;sans-serif" w:hAnsi="Arial;sans-serif"/>
          <w:b w:val="false"/>
          <w:i/>
          <w:color w:val="000000"/>
          <w:sz w:val="20"/>
        </w:rPr>
        <w:t xml:space="preserve">Final Fantasy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pPr>
      <w:r>
        <w:rPr>
          <w:rFonts w:ascii="Arial;sans-serif" w:hAnsi="Arial;sans-serif"/>
          <w:b/>
          <w:color w:val="000000"/>
          <w:sz w:val="20"/>
        </w:rPr>
        <w:t xml:space="preserve">Product development </w:t>
      </w:r>
      <w:r>
        <w:rPr>
          <w:color w:val="000000"/>
        </w:rPr>
        <w:t xml:space="preserve">– </w:t>
      </w:r>
      <w:r>
        <w:rPr>
          <w:rFonts w:ascii="Arial;sans-serif" w:hAnsi="Arial;sans-serif"/>
          <w:b w:val="false"/>
          <w:color w:val="000000"/>
          <w:sz w:val="20"/>
        </w:rPr>
        <w:t xml:space="preserve">Product development expense for the first nine months of 2025 was $255.6 million, or 7.9% of net revenues, compared to $212.2 million, or 7.0% of net revenues, for the first nine months of 2024. The increase in Product development expense during the first nine months of 2025 was primarily due to higher incremental investment in the development of Grow Brands under the Company's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strategy.</w:t>
      </w:r>
    </w:p>
    <w:p>
      <w:pPr>
        <w:pStyle w:val="TextBody"/>
        <w:bidi w:val="0"/>
        <w:spacing w:lineRule="auto" w:line="288" w:before="120" w:after="283"/>
        <w:jc w:val="left"/>
        <w:rPr/>
      </w:pPr>
      <w:r>
        <w:rPr>
          <w:rFonts w:ascii="Arial;sans-serif" w:hAnsi="Arial;sans-serif"/>
          <w:b/>
          <w:color w:val="000000"/>
          <w:sz w:val="20"/>
        </w:rPr>
        <w:t xml:space="preserve">Advertising </w:t>
      </w:r>
      <w:r>
        <w:rPr>
          <w:color w:val="000000"/>
        </w:rPr>
        <w:t xml:space="preserve">– </w:t>
      </w:r>
      <w:r>
        <w:rPr>
          <w:rFonts w:ascii="Arial;sans-serif" w:hAnsi="Arial;sans-serif"/>
          <w:b w:val="false"/>
          <w:color w:val="000000"/>
          <w:sz w:val="20"/>
        </w:rPr>
        <w:t>Advertising expense for the first nine months of 2025 was $227.3 million, or 7.0% of net revenues, compared to $213.8 million, or 7.0% of net revenues, for the first nine months of 2024. The increase in Advertising expense during the first nine months of 2025 was primarily driven by additional spend necessary to support top line growth opportunities within the Grow Brands category, specifically within the Wizards of the Coast and Digital Gaming segment.</w:t>
      </w:r>
    </w:p>
    <w:p>
      <w:pPr>
        <w:pStyle w:val="TextBody"/>
        <w:bidi w:val="0"/>
        <w:spacing w:lineRule="auto" w:line="288" w:before="120" w:after="283"/>
        <w:jc w:val="left"/>
        <w:rPr/>
      </w:pPr>
      <w:r>
        <w:rPr>
          <w:rFonts w:ascii="Arial;sans-serif" w:hAnsi="Arial;sans-serif"/>
          <w:b/>
          <w:color w:val="000000"/>
          <w:sz w:val="20"/>
        </w:rPr>
        <w:t xml:space="preserve">Amortization of intangibles </w:t>
      </w:r>
      <w:r>
        <w:rPr>
          <w:color w:val="000000"/>
        </w:rPr>
        <w:t xml:space="preserve">– </w:t>
      </w:r>
      <w:r>
        <w:rPr>
          <w:rFonts w:ascii="Arial;sans-serif" w:hAnsi="Arial;sans-serif"/>
          <w:b w:val="false"/>
          <w:color w:val="000000"/>
          <w:sz w:val="20"/>
        </w:rPr>
        <w:t xml:space="preserve">Amortization of intangible assets remained flat at $51.4 million, or 1.6% of net revenues, for the first nine months of 2025, as compared to $51.2 million, or 1.7% of net revenues, for the first nine months of 2024. The amortization expense was driven by the straight-line amortization of the Company's remaining definite-lived intangible assets. </w:t>
      </w:r>
    </w:p>
    <w:p>
      <w:pPr>
        <w:pStyle w:val="TextBody"/>
        <w:bidi w:val="0"/>
        <w:spacing w:lineRule="auto" w:line="288" w:before="120" w:after="283"/>
        <w:jc w:val="left"/>
        <w:rPr/>
      </w:pPr>
      <w:r>
        <w:rPr>
          <w:rFonts w:ascii="Arial;sans-serif" w:hAnsi="Arial;sans-serif"/>
          <w:b/>
          <w:color w:val="000000"/>
          <w:sz w:val="20"/>
        </w:rPr>
        <w:t xml:space="preserve">Impairment of goodwill </w:t>
      </w:r>
      <w:r>
        <w:rPr>
          <w:color w:val="000000"/>
        </w:rPr>
        <w:t xml:space="preserve">– </w:t>
      </w:r>
      <w:r>
        <w:rPr>
          <w:rFonts w:ascii="Arial;sans-serif" w:hAnsi="Arial;sans-serif"/>
          <w:b w:val="false"/>
          <w:color w:val="000000"/>
          <w:sz w:val="20"/>
        </w:rPr>
        <w:t>During the first nine months of 2025, the Company recorded a $1,021.9 million non-cash goodwill impairment charge associated with goodwill assigned to reporting units within the Company's Consumer Products segment. There were no goodwill impairment charges during the first nine months of 2024. See further detail in Note 5, Goodwill, to the consolidated financial statements for further information.</w:t>
      </w:r>
    </w:p>
    <w:p>
      <w:pPr>
        <w:pStyle w:val="TextBody"/>
        <w:bidi w:val="0"/>
        <w:spacing w:lineRule="auto" w:line="288" w:before="120" w:after="283"/>
        <w:jc w:val="left"/>
        <w:rPr/>
      </w:pPr>
      <w:r>
        <w:rPr>
          <w:rFonts w:ascii="Arial;sans-serif" w:hAnsi="Arial;sans-serif"/>
          <w:b/>
          <w:color w:val="000000"/>
          <w:sz w:val="20"/>
        </w:rPr>
        <w:t>Loss on disposal of business</w:t>
      </w:r>
      <w:r>
        <w:rPr>
          <w:color w:val="000000"/>
        </w:rPr>
        <w:t xml:space="preserve"> – </w:t>
      </w:r>
      <w:r>
        <w:rPr>
          <w:rFonts w:ascii="Arial;sans-serif" w:hAnsi="Arial;sans-serif"/>
          <w:b w:val="false"/>
          <w:color w:val="000000"/>
          <w:sz w:val="20"/>
        </w:rPr>
        <w:t>Loss on disposal of business for the first nine months of 2025 was $25.0 million, or 0.8% of net revenues, as compared to $24.4 million, or 0.8% of net revenues, for the first nine months of 2024. The Loss on disposal of business relates to the divestiture of the eOne Film and TV business. See further detail in Note 3, Sale of Non-Core Entertainment One Film and TV Business, to the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Selling, distribution and administration </w:t>
      </w:r>
      <w:r>
        <w:rPr>
          <w:color w:val="000000"/>
        </w:rPr>
        <w:t xml:space="preserve">– </w:t>
      </w:r>
      <w:r>
        <w:rPr>
          <w:rFonts w:ascii="Arial;sans-serif" w:hAnsi="Arial;sans-serif"/>
          <w:b w:val="false"/>
          <w:color w:val="000000"/>
          <w:sz w:val="20"/>
        </w:rPr>
        <w:t>Selling, distribution and administration expenses decreased to $839.7 million, or 25.8% of net revenues for the first nine months of 2025, from $852.6 million, or 28.1% of net revenues, for the first nine months of 2024. The decrease in Selling, distribution and administration expenses during the first nine months of 2025 was primarily due to cost savings initiatives and</w:t>
      </w:r>
      <w:r>
        <w:rPr>
          <w:color w:val="000000"/>
        </w:rPr>
        <w:t xml:space="preserve"> </w:t>
      </w:r>
      <w:r>
        <w:rPr>
          <w:rFonts w:ascii="Arial;sans-serif" w:hAnsi="Arial;sans-serif"/>
          <w:b w:val="false"/>
          <w:color w:val="000000"/>
          <w:sz w:val="20"/>
        </w:rPr>
        <w:t>a non-recurring $31.1 million expense related to historical environmental liabilities during the second quarter of 2024, partially offset by a non-recurring stock-compensation adjustment of $18.1 million recorded during the first quarter of 2024, as discussed in Note 1, Basis of Presentation, to the consolidated financial statements.</w:t>
      </w:r>
    </w:p>
    <w:p>
      <w:pPr>
        <w:pStyle w:val="TextBody"/>
        <w:bidi w:val="0"/>
        <w:spacing w:lineRule="auto" w:line="288" w:before="120" w:after="283"/>
        <w:jc w:val="left"/>
        <w:rPr/>
      </w:pPr>
      <w:r>
        <w:rPr>
          <w:rFonts w:ascii="Arial;sans-serif" w:hAnsi="Arial;sans-serif"/>
          <w:b/>
          <w:color w:val="000000"/>
          <w:sz w:val="20"/>
        </w:rPr>
        <w:t xml:space="preserve">Operating (Loss) Profit </w:t>
      </w:r>
      <w:r>
        <w:rPr>
          <w:color w:val="000000"/>
        </w:rPr>
        <w:t xml:space="preserve">– </w:t>
      </w:r>
      <w:r>
        <w:rPr>
          <w:rFonts w:ascii="Arial;sans-serif" w:hAnsi="Arial;sans-serif"/>
          <w:b w:val="false"/>
          <w:color w:val="000000"/>
          <w:sz w:val="20"/>
        </w:rPr>
        <w:t>Operating loss for the first nine months of 2025 was $286.4 million, or 8.8% of net revenues, compared to an operating profit of $630.2 million, or 20.8% of net revenues, for the first nine months of 2024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 (INCOME)</w:t>
      </w:r>
    </w:p>
    <w:p>
      <w:pPr>
        <w:pStyle w:val="TextBody"/>
        <w:bidi w:val="0"/>
        <w:spacing w:lineRule="auto" w:line="288" w:before="120" w:after="283"/>
        <w:jc w:val="left"/>
        <w:rPr/>
      </w:pPr>
      <w:r>
        <w:rPr>
          <w:rFonts w:ascii="Arial;sans-serif" w:hAnsi="Arial;sans-serif"/>
          <w:b/>
          <w:color w:val="000000"/>
          <w:sz w:val="20"/>
        </w:rPr>
        <w:t xml:space="preserve">Interest expense </w:t>
      </w:r>
      <w:r>
        <w:rPr>
          <w:color w:val="000000"/>
        </w:rPr>
        <w:t xml:space="preserve">– </w:t>
      </w:r>
      <w:r>
        <w:rPr>
          <w:rFonts w:ascii="Arial;sans-serif" w:hAnsi="Arial;sans-serif"/>
          <w:b w:val="false"/>
          <w:color w:val="000000"/>
          <w:sz w:val="20"/>
        </w:rPr>
        <w:t>Interest expense for the first nine months of 2025 totaled $123.0 million compared to $127.7 million in the first nine months of 2024. The decrease in Interest expense primarily reflects lower average borrowings as of the end of the third quarter of 2025 as compared to those outstanding as of the third quarter of 2024, partially offset by a higher average interest rate on the outstanding borrowings .</w:t>
      </w:r>
    </w:p>
    <w:p>
      <w:pPr>
        <w:pStyle w:val="TextBody"/>
        <w:bidi w:val="0"/>
        <w:spacing w:lineRule="auto" w:line="288" w:before="120" w:after="283"/>
        <w:jc w:val="left"/>
        <w:rPr/>
      </w:pPr>
      <w:r>
        <w:rPr>
          <w:rFonts w:ascii="Arial;sans-serif" w:hAnsi="Arial;sans-serif"/>
          <w:b/>
          <w:color w:val="000000"/>
          <w:sz w:val="20"/>
        </w:rPr>
        <w:t xml:space="preserve">Interest income </w:t>
      </w:r>
      <w:r>
        <w:rPr>
          <w:color w:val="000000"/>
        </w:rPr>
        <w:t xml:space="preserve">– </w:t>
      </w:r>
      <w:r>
        <w:rPr>
          <w:rFonts w:ascii="Arial;sans-serif" w:hAnsi="Arial;sans-serif"/>
          <w:b w:val="false"/>
          <w:color w:val="000000"/>
          <w:sz w:val="20"/>
        </w:rPr>
        <w:t xml:space="preserve">Interest income was $20.6 million for the first nine months of 2025, compared to $36.0 million in the first nine months of 2024. Lower Interest income in 2025 primarily reflects the Company's investments in treasury bills, which were substantially higher in 2024 as compared to 2025. </w:t>
      </w:r>
    </w:p>
    <w:p>
      <w:pPr>
        <w:pStyle w:val="TextBody"/>
        <w:bidi w:val="0"/>
        <w:spacing w:lineRule="auto" w:line="288" w:before="120" w:after="283"/>
        <w:jc w:val="left"/>
        <w:rPr/>
      </w:pPr>
      <w:r>
        <w:rPr>
          <w:rFonts w:ascii="Arial;sans-serif" w:hAnsi="Arial;sans-serif"/>
          <w:b/>
          <w:color w:val="000000"/>
          <w:sz w:val="20"/>
        </w:rPr>
        <w:t xml:space="preserve">Other income, net </w:t>
      </w:r>
      <w:r>
        <w:rPr>
          <w:color w:val="000000"/>
        </w:rPr>
        <w:t xml:space="preserve">– </w:t>
      </w:r>
      <w:r>
        <w:rPr>
          <w:rFonts w:ascii="Arial;sans-serif" w:hAnsi="Arial;sans-serif"/>
          <w:b w:val="false"/>
          <w:color w:val="000000"/>
          <w:sz w:val="20"/>
        </w:rPr>
        <w:t>Other income, net remained relatively flat and resulted in income of $15.9 million for the first nine months of 2025, compared to income of $15.7 million in the first nine months of 2024. The change in Other income, net during 2025 was driven primarily by foreign currency exchange gains and losses during the first nine months of 2025 as compared to the foreign currency exchange gains and losses experienced during the first nine months of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totaled $148.4 million on a pre-tax loss of $372.9 million in the first nine months of 2025 compared to an income tax expense of $133.3 million on pre-tax income of $554.2 million in the first nine months of 2024. Both periods were impacted by discrete tax events. During the first nine months of 2025, the Company recorded a non-cash goodwill impairment within the Consumer Products segment of $1,021.9 million with a tax benefit of $5.4 million and an unfavorable adjustment to the Loss on disposal of the eOne Film and TV business of $25.0 million with no tax benefit. The first nine months of 2024 includes a $24.4 million unfavorable adjustment to the Loss on disposal of the eOne Film and TV business with no tax benefit.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first nine months of 2025, exclusive of the impairment of goodwill and the unfavorable adjustment to the Loss on disposal of the eOne Film and TV business, the Company recorded a net discrete tax benefit of $6.5 million compared to a net discrete tax expense, exclusive of the Loss on disposal of the eOne Film and TV business, of $1.8 million in the first nine months of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net discrete tax benefit recorded in the first nine months of 2025, exclusive of the tax benefit related to the goodwill impairment, is primarily associated with the release of a valuation allowance. The net discrete tax expense recorded in the first nine months of 2024 is primarily associated with stock-based compensation offset by the release of uncertain tax positions.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first nine months of 2025 and 2024 were 23.8% and 22.7%, respectively. The increase in the base rate to 23.8% for the first nine months of 2025 relative to the first nine months of 2024 is primarily due to the mix of jurisdictions where the Company earned its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(loss) profit for the Company's reportable segments for the nine months ended September 28, 2025 and September 29, 2024:</w:t>
      </w:r>
    </w:p>
    <w:tbl>
      <w:tblPr>
        <w:tblW w:w="7943" w:type="dxa"/>
        <w:jc w:val="left"/>
        <w:tblInd w:w="0" w:type="dxa"/>
        <w:tblLayout w:type="fixed"/>
        <w:tblCellMar>
          <w:top w:w="28" w:type="dxa"/>
          <w:left w:w="28" w:type="dxa"/>
          <w:bottom w:w="28" w:type="dxa"/>
          <w:right w:w="28" w:type="dxa"/>
        </w:tblCellMar>
      </w:tblPr>
      <w:tblGrid>
        <w:gridCol w:w="1239"/>
        <w:gridCol w:w="1089"/>
        <w:gridCol w:w="1092"/>
        <w:gridCol w:w="262"/>
        <w:gridCol w:w="952"/>
        <w:gridCol w:w="135"/>
        <w:gridCol w:w="109"/>
        <w:gridCol w:w="109"/>
        <w:gridCol w:w="109"/>
        <w:gridCol w:w="262"/>
        <w:gridCol w:w="952"/>
        <w:gridCol w:w="135"/>
        <w:gridCol w:w="109"/>
        <w:gridCol w:w="109"/>
        <w:gridCol w:w="109"/>
        <w:gridCol w:w="343"/>
        <w:gridCol w:w="347"/>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revenues:</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Operating (loss) profit:</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Consumer Products</w:t>
            </w:r>
            <w:r>
              <w:rPr>
                <w:rFonts w:ascii="Arial;sans-serif" w:hAnsi="Arial;sans-serif"/>
                <w:b w:val="false"/>
                <w:color w:val="000000"/>
                <w:sz w:val="12"/>
              </w:rPr>
              <w:t>(1)</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Operating (loss) profit</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Change is not meaningful ("NM") for these segments.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 for the nine months ended September 28, 2025 and September 29, 2024:</w:t>
      </w:r>
    </w:p>
    <w:tbl>
      <w:tblPr>
        <w:tblW w:w="6833" w:type="dxa"/>
        <w:jc w:val="left"/>
        <w:tblInd w:w="0" w:type="dxa"/>
        <w:tblLayout w:type="fixed"/>
        <w:tblCellMar>
          <w:top w:w="28" w:type="dxa"/>
          <w:left w:w="28" w:type="dxa"/>
          <w:bottom w:w="28" w:type="dxa"/>
          <w:right w:w="28" w:type="dxa"/>
        </w:tblCellMar>
      </w:tblPr>
      <w:tblGrid>
        <w:gridCol w:w="900"/>
        <w:gridCol w:w="793"/>
        <w:gridCol w:w="796"/>
        <w:gridCol w:w="262"/>
        <w:gridCol w:w="952"/>
        <w:gridCol w:w="135"/>
        <w:gridCol w:w="109"/>
        <w:gridCol w:w="109"/>
        <w:gridCol w:w="109"/>
        <w:gridCol w:w="262"/>
        <w:gridCol w:w="952"/>
        <w:gridCol w:w="135"/>
        <w:gridCol w:w="109"/>
        <w:gridCol w:w="109"/>
        <w:gridCol w:w="109"/>
        <w:gridCol w:w="255"/>
        <w:gridCol w:w="256"/>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32.8% in the first nine months of 2025 to $1,556.5 million from $1,172.3 million in the first nine months of 2024. Tabletop Gaming revenue increased 43.2% behind growth in MAGIC: THE GATHERING primarily due to strong demand for Universes Beyond sets such as </w:t>
      </w:r>
      <w:r>
        <w:rPr>
          <w:rFonts w:ascii="Arial;sans-serif" w:hAnsi="Arial;sans-serif"/>
          <w:b w:val="false"/>
          <w:i/>
          <w:color w:val="000000"/>
          <w:sz w:val="20"/>
        </w:rPr>
        <w:t xml:space="preserve">Final Fantasy, Edge of Eternities, </w:t>
      </w:r>
      <w:r>
        <w:rPr>
          <w:rFonts w:ascii="Arial;sans-serif" w:hAnsi="Arial;sans-serif"/>
          <w:b w:val="false"/>
          <w:color w:val="000000"/>
          <w:sz w:val="20"/>
        </w:rPr>
        <w:t xml:space="preserve">and </w:t>
      </w:r>
      <w:r>
        <w:rPr>
          <w:rFonts w:ascii="Arial;sans-serif" w:hAnsi="Arial;sans-serif"/>
          <w:b w:val="false"/>
          <w:i/>
          <w:color w:val="000000"/>
          <w:sz w:val="20"/>
        </w:rPr>
        <w:t xml:space="preserve">Marvel's Spider-Man. </w:t>
      </w:r>
      <w:r>
        <w:rPr>
          <w:rFonts w:ascii="Arial;sans-serif" w:hAnsi="Arial;sans-serif"/>
          <w:b w:val="false"/>
          <w:color w:val="000000"/>
          <w:sz w:val="20"/>
        </w:rPr>
        <w:t xml:space="preserve">The net revenue increase in Digital and Licensed Gaming during the first nine months of 2025 was primarily attributable to revenue contributions from higher digital licensing of </w:t>
      </w:r>
      <w:r>
        <w:rPr>
          <w:rFonts w:ascii="Arial;sans-serif" w:hAnsi="Arial;sans-serif"/>
          <w:b w:val="false"/>
          <w:i/>
          <w:color w:val="000000"/>
          <w:sz w:val="20"/>
        </w:rPr>
        <w:t xml:space="preserve">MONOPOLY GO!, </w:t>
      </w:r>
      <w:r>
        <w:rPr>
          <w:rFonts w:ascii="Arial;sans-serif" w:hAnsi="Arial;sans-serif"/>
          <w:b w:val="false"/>
          <w:color w:val="000000"/>
          <w:sz w:val="20"/>
        </w:rPr>
        <w:t xml:space="preserve">which has contributed $125.8 million of revenue year-to-date. </w:t>
      </w:r>
    </w:p>
    <w:p>
      <w:pPr>
        <w:pStyle w:val="TextBody"/>
        <w:bidi w:val="0"/>
        <w:spacing w:lineRule="auto" w:line="288" w:before="120" w:after="283"/>
        <w:jc w:val="left"/>
        <w:rPr/>
      </w:pPr>
      <w:r>
        <w:rPr>
          <w:rFonts w:ascii="Arial;sans-serif" w:hAnsi="Arial;sans-serif"/>
          <w:b w:val="false"/>
          <w:color w:val="000000"/>
          <w:sz w:val="20"/>
        </w:rPr>
        <w:t>Wizards of the Coast and Digital Gaming segment operating profit was $723.3 million,</w:t>
      </w:r>
      <w:r>
        <w:rPr>
          <w:color w:val="000000"/>
        </w:rPr>
        <w:t xml:space="preserve"> </w:t>
      </w:r>
      <w:r>
        <w:rPr>
          <w:rFonts w:ascii="Arial;sans-serif" w:hAnsi="Arial;sans-serif"/>
          <w:b w:val="false"/>
          <w:color w:val="000000"/>
          <w:sz w:val="20"/>
        </w:rPr>
        <w:t xml:space="preserve">or 46.5% of segment net revenues for the first nine months of 2025, compared to operating profit of $551.1 million, or 47.0% of segment net revenues, for the first nine months of 2024. The operating profit increase during the first nine months of 2025 was primarily driven by increased net revenues, as discussed above, while operating margin as a percentage of segment net revenue decreased slightly as a result of an increased royalty expense, driven by the success of MAGIC: THE GATHERING Universes Beyond sets such as </w:t>
      </w:r>
      <w:r>
        <w:rPr>
          <w:rFonts w:ascii="Arial;sans-serif" w:hAnsi="Arial;sans-serif"/>
          <w:b w:val="false"/>
          <w:i/>
          <w:color w:val="000000"/>
          <w:sz w:val="20"/>
        </w:rPr>
        <w:t xml:space="preserve">Final Fantasy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for which the Company is obligated to pay a royalty.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 for the nine months ended September 28, 2025 and September 29, 2024:</w:t>
      </w:r>
    </w:p>
    <w:tbl>
      <w:tblPr>
        <w:tblW w:w="5709" w:type="dxa"/>
        <w:jc w:val="left"/>
        <w:tblInd w:w="0" w:type="dxa"/>
        <w:tblLayout w:type="fixed"/>
        <w:tblCellMar>
          <w:top w:w="28" w:type="dxa"/>
          <w:left w:w="28" w:type="dxa"/>
          <w:bottom w:w="28" w:type="dxa"/>
          <w:right w:w="28" w:type="dxa"/>
        </w:tblCellMar>
      </w:tblPr>
      <w:tblGrid>
        <w:gridCol w:w="467"/>
        <w:gridCol w:w="410"/>
        <w:gridCol w:w="413"/>
        <w:gridCol w:w="262"/>
        <w:gridCol w:w="952"/>
        <w:gridCol w:w="135"/>
        <w:gridCol w:w="109"/>
        <w:gridCol w:w="109"/>
        <w:gridCol w:w="109"/>
        <w:gridCol w:w="262"/>
        <w:gridCol w:w="952"/>
        <w:gridCol w:w="135"/>
        <w:gridCol w:w="109"/>
        <w:gridCol w:w="109"/>
        <w:gridCol w:w="109"/>
        <w:gridCol w:w="293"/>
        <w:gridCol w:w="293"/>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Consumer Products segment net revenues decreased 9% to $1,637.6 million for the first nine months of 2025 compared to $1,797.6 million for the first nine months of 2024 primarily driven by broader industry trends and timing of retail orders. The net revenue decrease primarily reflects lower net revenues driven by declining sales volumes for brands such as NERF, PLAY-DOH, and Hasbro Gaming, offset by growth from BEYBLADE, MONOPOLY, and TRANSFORMERS products.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loss for the first nine months of 2025 was $993.4 million, or 60.7% of segment net revenues, compared to a segment operating profit of $64.8 million, or 3.6% of segment net revenues, for the first nine months of 2024. The increase in operating loss in the first nine months of 2025 was driven by decrease in net revenues and a non-cash goodwill impairment charge of $1,021.9 million recorded during 2025. This was offset by savings realized from the Company's cost savings and transformation initiatives.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 for the nine months ended September 28, 2025 and September 29, 2024:</w:t>
      </w:r>
    </w:p>
    <w:tbl>
      <w:tblPr>
        <w:tblW w:w="5739" w:type="dxa"/>
        <w:jc w:val="left"/>
        <w:tblInd w:w="0" w:type="dxa"/>
        <w:tblLayout w:type="fixed"/>
        <w:tblCellMar>
          <w:top w:w="28" w:type="dxa"/>
          <w:left w:w="28" w:type="dxa"/>
          <w:bottom w:w="28" w:type="dxa"/>
          <w:right w:w="28" w:type="dxa"/>
        </w:tblCellMar>
      </w:tblPr>
      <w:tblGrid>
        <w:gridCol w:w="465"/>
        <w:gridCol w:w="410"/>
        <w:gridCol w:w="415"/>
        <w:gridCol w:w="341"/>
        <w:gridCol w:w="830"/>
        <w:gridCol w:w="178"/>
        <w:gridCol w:w="109"/>
        <w:gridCol w:w="109"/>
        <w:gridCol w:w="109"/>
        <w:gridCol w:w="341"/>
        <w:gridCol w:w="830"/>
        <w:gridCol w:w="178"/>
        <w:gridCol w:w="109"/>
        <w:gridCol w:w="109"/>
        <w:gridCol w:w="109"/>
        <w:gridCol w:w="308"/>
        <w:gridCol w:w="308"/>
        <w:gridCol w:w="48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4.2% to $61.3 million for the first nine months of 2025, compared to $64.0 million for the first nine months of 2024. The net revenue decrease in the Entertainment segment during the first nine months of 2025 was driven primarily by timing of entertainment streaming renewals.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$2.6 million, or 4.2% of segment net revenues, for the first nine months of 2025, compared to an operating profit of $14.6 million, or 22.8% of segment net revenues, for the first nine months of 2024. The decrease in Entertainment segment operating results during the first nine months of 2025 was primarily caused by a decrease in royalty income allocated to the Entertainment segment, driven by the decreased sales volumes within the Consumer Products segment as discussed above, along with a non-recurring Loss on disposal of business of $25.0 million during the first nine months of 2025, that was offset by a non-recurring Loss on disposal of business of $24.4 million during the first nine months of 2024. Refer to Note 3, Sale of Non-Core Entertainment One Film and TV Business, to the consolidated financial statements for further information on the non-recurring Loss on disposal of business.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pPr>
      <w:r>
        <w:rPr>
          <w:rFonts w:ascii="Arial;sans-serif" w:hAnsi="Arial;sans-serif"/>
          <w:b w:val="false"/>
          <w:color w:val="000000"/>
          <w:sz w:val="20"/>
        </w:rPr>
        <w:t>Corporate and Other operating loss was $18.9 million for the first nine months of 2025 compared to an operating loss of $0.3 million for the first nine months of 2024. The operating loss in the first nine months of 2025 was higher when compared to the operating loss in the first nine months of 2024 primarily due to the net impact of three prior period non-recurring adjustments recorded during 2024 that provided a combined income statement benefit of approximately $13.7 million. R</w:t>
      </w:r>
      <w:r>
        <w:rPr>
          <w:rFonts w:ascii="Arial;sans-serif" w:hAnsi="Arial;sans-serif"/>
          <w:b w:val="false"/>
          <w:color w:val="000000"/>
          <w:sz w:val="20"/>
          <w:shd w:fill="FFFFFF" w:val="clear"/>
        </w:rPr>
        <w:t xml:space="preserve">efer to Note 1, Basis of Presentation,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further information on these non-recurring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INFORMATION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nine months ended September 28, 2025, the Company entered into leases that have not yet commenced with estimated aggregated future lease payments of approximately $207.3 million. These leases are expected to commence between the fourth quarter of 2025 through 2026, with initial lease terms ranging from 10 years to 12 years.</w:t>
      </w:r>
    </w:p>
    <w:p>
      <w:pPr>
        <w:pStyle w:val="TextBody"/>
        <w:bidi w:val="0"/>
        <w:spacing w:lineRule="auto" w:line="288" w:before="120" w:after="283"/>
        <w:jc w:val="left"/>
        <w:rPr/>
      </w:pPr>
      <w:r>
        <w:rPr>
          <w:rFonts w:ascii="Arial;sans-serif" w:hAnsi="Arial;sans-serif"/>
          <w:b w:val="false"/>
          <w:color w:val="000000"/>
          <w:sz w:val="20"/>
          <w:shd w:fill="FFFFFF" w:val="clear"/>
        </w:rPr>
        <w:t xml:space="preserve">Refer to Item 7 of our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Form 10-K for additional information regarding the Company’s cash obligations and commitments as of the end of fiscal year </w:t>
      </w:r>
      <w:r>
        <w:rPr>
          <w:rFonts w:ascii="Arial;sans-serif" w:hAnsi="Arial;sans-serif"/>
          <w:b w:val="false"/>
          <w:color w:val="000000"/>
          <w:sz w:val="20"/>
        </w:rPr>
        <w:t>2024</w:t>
      </w:r>
      <w:r>
        <w:rPr>
          <w:rFonts w:ascii="Arial;sans-serif" w:hAnsi="Arial;sans-serif"/>
          <w:b w:val="false"/>
          <w:color w:val="000000"/>
          <w:sz w:val="20"/>
          <w:shd w:fill="FFFFFF" w:val="clear"/>
        </w:rPr>
        <w:t xml:space="preserve">. Additionally, refer to Note 14, Commitments and Contingencies,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a discussion of the Company’s commitments and contingencies. With the exception of the above, c</w:t>
      </w:r>
      <w:r>
        <w:rPr>
          <w:rFonts w:ascii="Arial;sans-serif" w:hAnsi="Arial;sans-serif"/>
          <w:b w:val="false"/>
          <w:color w:val="000000"/>
          <w:sz w:val="20"/>
        </w:rPr>
        <w:t>ontractual obligations and commercial commitments, as detailed in the Company's 2024 Form 10-K, did not materially change outside of certain payments made in the normal course of business and as otherwise set forth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tariffs on the Company's business operations was approximately $20 million during the first nine months of 2025. Significant changes in trade policy announced by the U.S. government could adversely impact our forward-looking financial results, including the timing and extent of cash flows based upon timing in customer buying patterns and changes in our supply chain sourcing strategies.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28, 2025, the Company's cash and cash equivalents totaled $620.9 million. The majority of the Company’s cash and cash equivalents held outside of the United States as of September 28, 2025 are denominated in the U.S. dollar.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September 28, 2025, the Company had no outstanding borrowings related to the commercial paper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September 28, 2025. The Company had no borrowings outstanding under its revolving credit facility as of September 28, 2025. However, letters of credit outstanding under this facility as of September 28, 2025 were approximately $3.7 million. Amounts available and unused under the revolving credit facility at September 28, 2025 were approximately $1.25 billion, inclusive of borrowings under the Company’s commercial paper program. The Company also has other uncommitted lines from various banks, of which approximately $8.4 million was utilized as of September 28, 2025. Of the amount utilized under, or supported by, the uncommitted lines, the full $8.4 million represented letters of credit.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28, 2025, the Company had $3.3 billion of Long-term debt due at varying times from 2026 through 2044. 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2025, the Company has repurchased $65.0 million of its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pStyle w:val="TextBody"/>
        <w:bidi w:val="0"/>
        <w:spacing w:lineRule="auto" w:line="288" w:before="120" w:after="283"/>
        <w:jc w:val="left"/>
        <w:rPr/>
      </w:pPr>
      <w:r>
        <w:rPr>
          <w:rFonts w:ascii="Arial;sans-serif" w:hAnsi="Arial;sans-serif"/>
          <w:b w:val="false"/>
          <w:color w:val="000000"/>
          <w:sz w:val="20"/>
        </w:rPr>
        <w:t xml:space="preserve">In June 2025, the Company entered into a money market line of credit agreement (the “Money Market Credit Facility”) to provide the Company with access to uncommitted, short-term cash advances with an aggregate principal amount of up to $100.0 million. The Money Market Credit Facility is intended to support the Company’s short-term liquidity needs, including working capital and general corporate purposes. As of September 28, 2025, the Company did not have any outstanding credit under the Money Market Credit Facility. See Note 8, Long-Term Debt and Other Financing, </w:t>
      </w:r>
      <w:r>
        <w:rPr>
          <w:rFonts w:ascii="Arial;sans-serif" w:hAnsi="Arial;sans-serif"/>
          <w:b w:val="false"/>
          <w:color w:val="000000"/>
          <w:sz w:val="20"/>
          <w:shd w:fill="FFFFFF" w:val="clear"/>
        </w:rPr>
        <w:t xml:space="preserve">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further information.</w:t>
      </w:r>
    </w:p>
    <w:p>
      <w:pPr>
        <w:pStyle w:val="TextBody"/>
        <w:bidi w:val="0"/>
        <w:spacing w:lineRule="auto" w:line="288" w:before="120" w:after="283"/>
        <w:jc w:val="left"/>
        <w:rPr/>
      </w:pPr>
      <w:r>
        <w:rPr>
          <w:rFonts w:ascii="Arial;sans-serif" w:hAnsi="Arial;sans-serif"/>
          <w:b w:val="false"/>
          <w:color w:val="000000"/>
          <w:sz w:val="20"/>
        </w:rPr>
        <w:t xml:space="preserve">The amount of obligations confirmed under the supplier finance program that remain unpaid by the Company were $100.1 million, $118.7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September 28, 2025, September 29, 2024 and December 29, 2024, respectively. These obligations are presented within Accounts payable in the Company's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the Consolidated Statement of Cash Flows:</w:t>
      </w:r>
    </w:p>
    <w:tbl>
      <w:tblPr>
        <w:tblW w:w="5964" w:type="dxa"/>
        <w:jc w:val="left"/>
        <w:tblInd w:w="0" w:type="dxa"/>
        <w:tblLayout w:type="fixed"/>
        <w:tblCellMar>
          <w:top w:w="28" w:type="dxa"/>
          <w:left w:w="28" w:type="dxa"/>
          <w:bottom w:w="28" w:type="dxa"/>
          <w:right w:w="28" w:type="dxa"/>
        </w:tblCellMar>
      </w:tblPr>
      <w:tblGrid>
        <w:gridCol w:w="1046"/>
        <w:gridCol w:w="922"/>
        <w:gridCol w:w="926"/>
        <w:gridCol w:w="299"/>
        <w:gridCol w:w="895"/>
        <w:gridCol w:w="155"/>
        <w:gridCol w:w="109"/>
        <w:gridCol w:w="109"/>
        <w:gridCol w:w="109"/>
        <w:gridCol w:w="295"/>
        <w:gridCol w:w="883"/>
        <w:gridCol w:w="216"/>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29,</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(utilized for):</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activities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Investing activities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activities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in the first nine months of 2025 was $490.0 million compared to $587.6 million in the first nine months of 2024. The $97.6 million decrease in net cash provided by Operating activities after adjusting for non-cash items, was primarily attributable to changes in net working capital, specifically inventory purchases, which have increased period over period as the result of a strategic decision to build increased flexibility to better match product demand during higher seasonal periods, along with the impact of tariffs. Operating cash flow was also impacted by the timing and magnitude of tax payments, including the payment of the net deemed repatriation tax, in the first nine months of 2025 when compared to first nine months of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Investing activities was $191.8 million in the first nine months of 2025 compared to net cash utilized for Investing activities of $635.4 million in the first nine months of 2024. Additions to property, plant and equipment and software were $49.6 million and $98.6 million, respectively, in the first nine months of 2025 compared to $67.9 million and $78.3 million, respectively, in the first nine months of 2024. Additionally, purchases of Long-term Investments of $55.2 million, which represent prefunding of future debt maturities with U.S. Treasury bills, occurred in the first nine months of 2025, compared to net purchases of Short-term Investments of $480.0 million in the first nine months of 2024. The level of purchases during 2024 was impacted by the intent to utilize the investments, together with available cash, to repay indebtedness of the Company that was due in November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by Financing activities was $375.1 million in the first nine months of 2025 compared to net cash provided by Financing activities of $190.8 million in the first nine months of 2024. Financing activities in the first nine months of 2025 primarily include dividends paid of $294.2 million, repayments of long-term debt of $63.5 million, and $21.8 million of payments related to tax withholdings for stock compensation coinciding with equity award vesting activity. Financing activities in the first nine months of 2024 include approximately $500.0 million of proceeds from issuance of the 2034 Notes, $292.2 million of dividends paid and $13.0 million of payments related to tax withholdings for stock compensation coinciding with equity award vesting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prepared the consolidated financial statements in accordance with accounting principles generally accepted in the United States, which require us to make estimates and assumptions that affect the reported amounts of assets and liabilities at the date of the consolidated financial statements and revenues and expenses during the periods reported. These estimates are based on our best judgment about current and future conditions, but actual results could differ from those estimates. Information with respect to accounting estimates that are the most critical to the understanding of our financial statements as they could have the most significant effect on our reported results and require subjective or complex judgments by management is contained in Item 7, Management’s Discussion and Analysis of Financial Condition and Results of Operations, of our Annual Report on Form 10-K for the fiscal year ended December 29, 2024. We believe that at September 28, 2025, there has been no material change to this information except as noted below.</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Recoverability of Goodwill and Intangible Assets</w:t>
      </w:r>
    </w:p>
    <w:p>
      <w:pPr>
        <w:pStyle w:val="TextBody"/>
        <w:bidi w:val="0"/>
        <w:spacing w:lineRule="auto" w:line="288" w:before="120" w:after="283"/>
        <w:jc w:val="left"/>
        <w:rPr/>
      </w:pPr>
      <w:r>
        <w:rPr>
          <w:rFonts w:ascii="Arial;sans-serif" w:hAnsi="Arial;sans-serif"/>
          <w:b w:val="false"/>
          <w:color w:val="000000"/>
          <w:sz w:val="20"/>
        </w:rPr>
        <w:t xml:space="preserve">The quantitative test of goodwill for impairment requires us to estimate the fair value of our reporting units. We test goodwill at the reporting unit level, which we define as one level below the operating segment. Our reporting units are aligned with our product lines that are separately managed and reviewed. During the second quarter of 2025, we performed a quantitative impairment test for certain of our reporting units within the Consumer Products and Entertainment segments. The reporting units within the Consumer Products segment subject to the quantitative test included North America, Europe, Asia Pacific, and Latin America as well as the Family Brands reporting unit within the Entertainment segment. We have concluded that North America, Europe, Asia Pacific, and Latin America reporting units have similar economic characteristics and should be aggregated for purposes of testing goodwill for impairment. Our conclusion was based on a detailed analysis of the aggregation criteria set forth in FASB ASC Topic 280, </w:t>
      </w:r>
      <w:r>
        <w:rPr>
          <w:rFonts w:ascii="Arial;sans-serif" w:hAnsi="Arial;sans-serif"/>
          <w:b w:val="false"/>
          <w:i/>
          <w:color w:val="000000"/>
          <w:sz w:val="20"/>
        </w:rPr>
        <w:t>Segment Reporting</w:t>
      </w:r>
      <w:r>
        <w:rPr>
          <w:rFonts w:ascii="Arial;sans-serif" w:hAnsi="Arial;sans-serif"/>
          <w:b w:val="false"/>
          <w:color w:val="000000"/>
          <w:sz w:val="20"/>
        </w:rPr>
        <w:t xml:space="preserve">, and in FASB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including similar sourcing and distribution methods and they have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determined that the carrying values of our regional consumer products reporting units, when aggregated during the second quarter of 2025 based upon similar economic characteristics, exceeded their respective fair values and recorded aggregate pre-tax non-cash impairment charges of $1,021.9 million. Specifically, the fair values of North America and Europe reporting units were determined considering a discounted cash flow model which is primarily based on management’s future revenue and cost estimates, which included the estimated impact of tariff policies in effect and the related macroeconomic environment, and discount rate. The fair value of the Asia Pacific and Latin America reporting units was determined considering a discounted cash flow model weighted equally with the market approach which is primarily based on multiples of comparable public companies.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our Family Brands reporting unit, within the Entertainment segment, exceeded the carrying value of that reporting unit by approximately 15%. At September 28, 2025, $325.2 million of goodwill is allocated to the Family Brands reporting unit. The fair value of the Family Brands reporting unit was determined considering a discounted cash flow model weighted equally with the market approach which is primarily based on multiples of comparable public companies. Management closely monitors the operating results of all reporting units in addition to macroeconomic conditions and trade policy developments. Further volatility of trade, geopolitical tensions, or negative global economic developments could cause significant further decreases in the operating results of our reporting units, which may result in a recognition of a goodwill impairment that could be material to the consolidated financial statements in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Critical assumptions used in the determination of the reporting units’ fair value included management’s estimated future revenue growth rates, estimated future margins, and discount rate. Estimated future revenue growth and margins are based on management’s best estimate about current and future conditions. During the second quarter of 2025, the regional consumer products reporting units included discount rates ranging from 10.5% to 14.0% and a terminal value revenue growth rate of 3.0%. Additionally, the forecasted growth in operating profit margins towards the terminal value operating profit is aligned with industry averages. For the Family Brands reporting unit, critical assumptions included a discount rate approximating 9.5%, a terminal value revenue growth rate of 3.0%, and a terminal operating profit margin consistent with levels achieved in recent historical periods when excluding one-time impairment and disposal charges. Although we believe the assumptions and estimates made were reasonable and appropriate, these estimates are based on a number of factors including historical experience and information obtained from reporting unit management. Actual results could differ from these estimates, especially given uncertainty related to tariffs, global trade policy, and global macroeconomic conditions. We determined the discount rate using our weighted average cost of capital adjusted for risk factors specific to the reporting unit, with comparison to market and industry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proceeded to perform sensitivities in our impairment testing of the Family Brands reporting unit by (i) increasing the discount rate 250 basis points, (ii) decreasing the expected long-term growth rate 750 basis points, (iii) decreasing the annual revenue projections 400 basis points, and (iv) decreasing projected gross margins 1,000 basis points. None of these sensitivities individually would have resulted in a conclusion that the goodwill in our Family Brands reporting unit were impaired.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More information regarding goodwill is contained in Note 5, Goodwill,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derivatives at their fair value as an asset or liability on the Consolidated Balance Sheets. The Company does not speculate in foreign currency exchange contracts. See Note 12, Derivative Financial Instruments, to the Company’s consolidated financial statements for further details on the Company's derivatives.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28, 2025, the Company had fixed-rate debt of $3.3 billion. The Company may from time to time assess interest rate swaps related to its outstanding debt. The Company did not have any outstanding swaps as of September 28, 2025, September 29, 2024, or December 29,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included in Part I, Item 2. "Management's Discussion and Analysis of Financial Condition and Results of Operations"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28, 2025. Based on the evaluation of these disclosure controls and procedures, the Chief Executive Officer and Chief Financial Officer concluded that the Company's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promulgated under the Exchange Act, during the quarter ended September 28, 2025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13, 2024, West Palm Beach Firefighters’ Pension Fund filed a putative class action lawsuit in the U.S. District Court for the Southern District of New York alleging violations of Sections 10(b) and 20(a) of the Securities and Exchange Act of 1934 and certain rules promulgated thereunder. West Palm Beach Firefighters’ Pension Fund v. Hasbro, Inc., Richard Stoddart, Christian Cocks, Deborah Thomas, Gina Goetter and Eric Nyman, Case No.1:24-cv-8633 (S.D.N.Y.). The plaintiff asserts claims on behalf of persons and entities that purchased the Company’s securities between February 7, 2022 and October 25, 2023 (the “Class Period”), and seeks compensatory damages, interest, fees, and costs. The complaint alleges that members of the putative class suffered losses as a result of false or misleading statements and withholding of information regarding the Company’s inventory, including quality and appropriateness thereof, during the Class Period. On August 29, 2025, the court granted the Miami General Employees' &amp; Sanitation Employees' Retirement Trust and West Palm Beach Firefighters' Pension Fund's motion for appointment as lead plaintiff. The Company intends to vigorously defend against these claims. Due to the early stages of this matter, the Company is unable to estimate a reasonably possible range of loss, if any, that may result from this matter.</w:t>
      </w:r>
    </w:p>
    <w:p>
      <w:pPr>
        <w:pStyle w:val="TextBody"/>
        <w:bidi w:val="0"/>
        <w:spacing w:lineRule="auto" w:line="288" w:before="120" w:after="283"/>
        <w:jc w:val="left"/>
        <w:rPr/>
      </w:pPr>
      <w:r>
        <w:rPr>
          <w:rFonts w:ascii="Arial;sans-serif" w:hAnsi="Arial;sans-serif"/>
          <w:b w:val="false"/>
          <w:color w:val="000000"/>
          <w:sz w:val="20"/>
        </w:rPr>
        <w:t xml:space="preserve">On August 19, 2025, Karen Sbriglio, derivatively on behalf of Hasbro, Inc., filed a putative shareholder derivative action against certain of the Company's executive officers and current and former members of the Board of Directors of the Company in Rhode Island Superior Court. </w:t>
      </w:r>
      <w:r>
        <w:rPr>
          <w:rFonts w:ascii="Arial;sans-serif" w:hAnsi="Arial;sans-serif"/>
          <w:b w:val="false"/>
          <w:i/>
          <w:color w:val="000000"/>
          <w:sz w:val="20"/>
        </w:rPr>
        <w:t xml:space="preserve">Sbriglio v. Stoddart et al., </w:t>
      </w:r>
      <w:r>
        <w:rPr>
          <w:rFonts w:ascii="Arial;sans-serif" w:hAnsi="Arial;sans-serif"/>
          <w:b w:val="false"/>
          <w:color w:val="000000"/>
          <w:sz w:val="20"/>
        </w:rPr>
        <w:t xml:space="preserve">PC-2025-04400 (Prov. City, RI). Plaintiff alleges the Board of Directors wrongfully refused to pre-suit litigation demand made on the Board relating to similar allegations described in the West Palm Beach Firefighters' Pension Fund 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other certain legal proceedings, none of which we believe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pPr>
      <w:r>
        <w:rPr>
          <w:rFonts w:ascii="Arial;sans-serif" w:hAnsi="Arial;sans-serif"/>
          <w:b w:val="false"/>
          <w:color w:val="212529"/>
          <w:sz w:val="20"/>
        </w:rPr>
        <w:t xml:space="preserve">In connection with information set forth in this Quarterly Report on Form 10-Q, the risk factors discussed under Item 1A. Risk Factors, in Part I of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should be considered. The risks set forth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could materially and adversely affect our business, financial condition, and results of operations. There are no material changes from the risk factors as previously disclosed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Form 10-K, in any of our subsequently filed reports or as otherwise set forth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repurchases of the Company’s Common Stock during the nine months ended September 28, 2025. At September 28, 2025, Hasbro had $241.6 million remaining available under its share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nine months ended September 28, 2025, none of our officers or directors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9"/>
        <w:gridCol w:w="219"/>
        <w:gridCol w:w="130"/>
        <w:gridCol w:w="3021"/>
        <w:gridCol w:w="2725"/>
        <w:gridCol w:w="386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Restated Articles of Incorporation of the Company. (Incorporated by reference to Exhibit 3.1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Amendment to Articles of Incorporation, dated June 28, 2000. (Incorporated by reference to Exhibit 3.4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Articles of Incorporation, dated May 19, 2003. (Incorporated by reference to Exhibit 3.3 to the Company's Quarterly Report on Form 10-Q for the period ended June 29, 2003,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Second Amended and Restated Bylaws of the Company (Incorporated by reference to Exhibit 3.1 to the Company’s Current Report on Form 8-K dated September 30, 2022,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Indenture, dated as of July 17, 1998, by and between the Company and The Bank of New York Mellon Trust Company, N.A. as successor Trustee to Citibank, N.A. as Trustee. (Incorporated by reference to Exhibit 4.1 to the Company's Current Report on Form 8-K dated July 14, 1998,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Fourth Supplemental Indenture, dated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6"/>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6"/>
                  <w:u w:val="single"/>
                </w:rPr>
                <w:t>Seventh Supplemental Indenture dated as of May 14, 2024, among the Company and The Bank of New York Mellon Trust Company, N.A. and U.S. Bank, National Association, supplementing the Indenture dated as of March 15, 2000. (Incorporated by reference to Exhibit 4.1 to the Company’s Current Report on Form 8-K filed May 14, 2024, File No. 1-6682.)</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mploymentagreementcocks.htm">
              <w:r>
                <w:rPr>
                  <w:rStyle w:val="InternetLink"/>
                  <w:rFonts w:ascii="Arial;sans-serif" w:hAnsi="Arial;sans-serif"/>
                  <w:b w:val="false"/>
                  <w:color w:val="000080"/>
                  <w:sz w:val="16"/>
                  <w:u w:val="single"/>
                </w:rPr>
                <w:t>First Amendment to the Amended and Restated Employment Agreement</w:t>
              </w:r>
            </w:hyperlink>
            <w:hyperlink w:anchor="employmentagreementcocks.htm">
              <w:r>
                <w:rPr>
                  <w:rStyle w:val="InternetLink"/>
                  <w:rFonts w:ascii="Arial;sans-serif" w:hAnsi="Arial;sans-serif"/>
                  <w:b w:val="false"/>
                  <w:color w:val="000080"/>
                  <w:sz w:val="16"/>
                  <w:u w:val="single"/>
                </w:rPr>
                <w:t xml:space="preserve"> with the C</w:t>
              </w:r>
            </w:hyperlink>
            <w:hyperlink w:anchor="employmentagreementcocks.htm">
              <w:r>
                <w:rPr>
                  <w:rStyle w:val="InternetLink"/>
                  <w:rFonts w:ascii="Arial;sans-serif" w:hAnsi="Arial;sans-serif"/>
                  <w:b w:val="false"/>
                  <w:color w:val="000080"/>
                  <w:sz w:val="16"/>
                  <w:u w:val="single"/>
                </w:rPr>
                <w:t>hief Exe</w:t>
              </w:r>
            </w:hyperlink>
            <w:hyperlink w:anchor="employmentagreementcocks.htm">
              <w:r>
                <w:rPr>
                  <w:rStyle w:val="InternetLink"/>
                  <w:rFonts w:ascii="Arial;sans-serif" w:hAnsi="Arial;sans-serif"/>
                  <w:b w:val="false"/>
                  <w:color w:val="000080"/>
                  <w:sz w:val="16"/>
                  <w:u w:val="single"/>
                </w:rPr>
                <w:t>cutive Officer</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32025xex311.htm">
              <w:r>
                <w:rPr>
                  <w:rStyle w:val="InternetLink"/>
                  <w:rFonts w:ascii="Arial;sans-serif" w:hAnsi="Arial;sans-serif"/>
                  <w:b w:val="false"/>
                  <w:color w:val="0000FF"/>
                  <w:sz w:val="16"/>
                  <w:u w:val="single"/>
                </w:rPr>
                <w:t>Certification of the Chief Executive Officer Pursuant to Rule 13a-14(a)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32025xex312.htm">
              <w:r>
                <w:rPr>
                  <w:rStyle w:val="InternetLink"/>
                  <w:rFonts w:ascii="Arial;sans-serif" w:hAnsi="Arial;sans-serif"/>
                  <w:b w:val="false"/>
                  <w:color w:val="0000FF"/>
                  <w:sz w:val="16"/>
                  <w:u w:val="single"/>
                </w:rPr>
                <w:t>Certification of the Chief Financial Officer Pursuant to Rule 13a-14(a)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32025xex321.htm">
              <w:r>
                <w:rPr>
                  <w:rStyle w:val="InternetLink"/>
                  <w:rFonts w:ascii="Arial;sans-serif" w:hAnsi="Arial;sans-serif"/>
                  <w:b w:val="false"/>
                  <w:color w:val="0000FF"/>
                  <w:sz w:val="16"/>
                  <w:u w:val="single"/>
                </w:rPr>
                <w:t>Certification of the Chief Executive Officer Pursuant to Rule 13a-14(b)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32025xex322.htm">
              <w:r>
                <w:rPr>
                  <w:rStyle w:val="InternetLink"/>
                  <w:rFonts w:ascii="Arial;sans-serif" w:hAnsi="Arial;sans-serif"/>
                  <w:b w:val="false"/>
                  <w:color w:val="0000FF"/>
                  <w:sz w:val="16"/>
                  <w:u w:val="single"/>
                </w:rPr>
                <w:t>Certification of the Chief Financial Officer Pursuant to Rule 13a-14(b)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101.INS</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101.SCH</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101.CAL</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101.LAB</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Labels Linkbase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101.PRE </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101.DEF </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r>
    </w:tbl>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Furnished herewith</w:t>
      </w:r>
    </w:p>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Indicates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899" w:type="dxa"/>
        <w:jc w:val="left"/>
        <w:tblInd w:w="0" w:type="dxa"/>
        <w:tblLayout w:type="fixed"/>
        <w:tblCellMar>
          <w:top w:w="28" w:type="dxa"/>
          <w:left w:w="28" w:type="dxa"/>
          <w:bottom w:w="28" w:type="dxa"/>
          <w:right w:w="28" w:type="dxa"/>
        </w:tblCellMar>
      </w:tblPr>
      <w:tblGrid>
        <w:gridCol w:w="808"/>
        <w:gridCol w:w="709"/>
        <w:gridCol w:w="717"/>
        <w:gridCol w:w="1364"/>
        <w:gridCol w:w="1364"/>
        <w:gridCol w:w="1937"/>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6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5, 2025</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Gina Goetter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br/>
              <w:t>(Duly Authorized Officer and</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the 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Hasbro,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Christian (Chris) Page Cocks (the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have agreed to amend certain terms of the Amended and Restated Employment Agreement between the Company and the Executive dated May 22, 2024 (the</w:t>
      </w:r>
      <w:r>
        <w:rPr>
          <w:color w:val="000000"/>
        </w:rPr>
        <w:t xml:space="preserve"> “</w:t>
      </w:r>
      <w:r>
        <w:rPr>
          <w:rFonts w:ascii="Times New Roman;serif" w:hAnsi="Times New Roman;serif"/>
          <w:b/>
          <w:i/>
          <w:color w:val="000000"/>
          <w:sz w:val="24"/>
        </w:rPr>
        <w:t>Employment Agreement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NOW, THEREFORE, in consideration of the mutual covenants and promises contained herein and other good and valuable consideration, the receipt and sufficiency of which is hereby acknowledged, the parties hereto agree to the following changes to the Employment Agreement (hereafter referred to as the “</w:t>
      </w:r>
      <w:r>
        <w:rPr>
          <w:rFonts w:ascii="Times New Roman;serif" w:hAnsi="Times New Roman;serif"/>
          <w:b/>
          <w:i/>
          <w:color w:val="000000"/>
          <w:sz w:val="24"/>
        </w:rPr>
        <w:t>First Amendment to the Employment Agreement</w:t>
      </w:r>
      <w:r>
        <w:rPr>
          <w:color w:val="000000"/>
        </w:rPr>
        <w:t>”</w:t>
      </w:r>
      <w:r>
        <w:rPr>
          <w:rFonts w:ascii="Times New Roman;serif" w:hAnsi="Times New Roman;serif"/>
          <w:b w:val="false"/>
          <w:color w:val="000000"/>
          <w:sz w:val="24"/>
        </w:rPr>
        <w:t>), effective as of September 25,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3.1 of the Employment Agreement is amended by deleting the second sentence of such Section and replacing such sentence in its entirety with the following sentence: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The Executive will be required to undertake reasonable travel in connection with his duties, with any related business air travel to be in the highest class available on the applicable aircraft, subject to reimbursement in accordance with Section 4.5.”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2.Section 11.4 of the Employment Agreement is amended by deleting the last clause of the definition of Good Reason and replacing it in its entirety with the following:</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(f) any relocation of the Executive’s place of employment by more than fifty (50) miles, where the Executive does not consent to such relocation.”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First Amendment to the Employment Agreement effective as of the Effective Date.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HASBRO, INC.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Richard Stoddart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Richard Stoddart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 of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Christian (Chris) Page Cocks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Name: Christian (Chris) Page Cocks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Chris Cocks, certify that: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Cocks</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Gina Goetter, certify that: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tbl>
      <w:tblPr>
        <w:tblW w:w="4887" w:type="dxa"/>
        <w:jc w:val="center"/>
        <w:tblInd w:w="0" w:type="dxa"/>
        <w:tblLayout w:type="fixed"/>
        <w:tblCellMar>
          <w:top w:w="28" w:type="dxa"/>
          <w:left w:w="28" w:type="dxa"/>
          <w:bottom w:w="28" w:type="dxa"/>
          <w:right w:w="28" w:type="dxa"/>
        </w:tblCellMar>
      </w:tblPr>
      <w:tblGrid>
        <w:gridCol w:w="124"/>
        <w:gridCol w:w="109"/>
        <w:gridCol w:w="109"/>
        <w:gridCol w:w="1331"/>
        <w:gridCol w:w="1331"/>
        <w:gridCol w:w="1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Gina Goetter</w:t>
              <w:br/>
              <w:t>Chief Financial Officer and Chief Operating Officer</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September 28,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Company's 10-Q Report fairly presents, in all material respects, the financial condition and results of operations of the Company.</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 Cocks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Cocks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5,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September 28,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Company's 10-Q Report fairly presents, in all material respects, the financial condition and results of operations of the Company.</w:t>
      </w:r>
    </w:p>
    <w:tbl>
      <w:tblPr>
        <w:tblW w:w="5862" w:type="dxa"/>
        <w:jc w:val="center"/>
        <w:tblInd w:w="0" w:type="dxa"/>
        <w:tblLayout w:type="fixed"/>
        <w:tblCellMar>
          <w:top w:w="28" w:type="dxa"/>
          <w:left w:w="28" w:type="dxa"/>
          <w:bottom w:w="28" w:type="dxa"/>
          <w:right w:w="28" w:type="dxa"/>
        </w:tblCellMar>
      </w:tblPr>
      <w:tblGrid>
        <w:gridCol w:w="124"/>
        <w:gridCol w:w="109"/>
        <w:gridCol w:w="109"/>
        <w:gridCol w:w="1614"/>
        <w:gridCol w:w="1614"/>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Gina Goetter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Gina Goetter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 of Hasbro, Inc.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5,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080/000004608000000013/0000046080-00-000013-0002.txt" TargetMode="External"/><Relationship Id="rId3" Type="http://schemas.openxmlformats.org/officeDocument/2006/relationships/hyperlink" Target="https://www.sec.gov/Archives/edgar/data/46080/000004608000000013/0000046080-00-000013-0005.txt" TargetMode="External"/><Relationship Id="rId4" Type="http://schemas.openxmlformats.org/officeDocument/2006/relationships/hyperlink" Target="https://www.sec.gov/Archives/edgar/data/46080/000004608003000022/ex3-3q203.htm" TargetMode="External"/><Relationship Id="rId5" Type="http://schemas.openxmlformats.org/officeDocument/2006/relationships/hyperlink" Target="https://www.sec.gov/Archives/edgar/data/46080/000004608022000109/hasbro-secondamendedandres.htm" TargetMode="External"/><Relationship Id="rId6" Type="http://schemas.openxmlformats.org/officeDocument/2006/relationships/hyperlink" Target="https://www.sec.gov/Archives/edgar/data/46080/000004608000000013/0000046080-00-000013-0003.txt" TargetMode="External"/><Relationship Id="rId7" Type="http://schemas.openxmlformats.org/officeDocument/2006/relationships/hyperlink" Target="https://www.sec.gov/Archives/edgar/data/46080/000004608000000013/0000046080-00-000013-0004.txt" TargetMode="External"/><Relationship Id="rId8" Type="http://schemas.openxmlformats.org/officeDocument/2006/relationships/hyperlink" Target="https://www.sec.gov/Archives/edgar/data/46080/0000950172-98-000702.txt" TargetMode="External"/><Relationship Id="rId9" Type="http://schemas.openxmlformats.org/officeDocument/2006/relationships/hyperlink" Target="https://www.sec.gov/Archives/edgar/data/46080/000004608000000003/0000046080-00-000003.txt" TargetMode="External"/><Relationship Id="rId10" Type="http://schemas.openxmlformats.org/officeDocument/2006/relationships/hyperlink" Target="https://www.sec.gov/Archives/edgar/data/46080/000095013507005709/b66906hbexv4w1.htm" TargetMode="External"/><Relationship Id="rId11" Type="http://schemas.openxmlformats.org/officeDocument/2006/relationships/hyperlink" Target="https://www.sec.gov/Archives/edgar/data/46080/000095013509003948/b75462hiexv4w1.htm" TargetMode="External"/><Relationship Id="rId12" Type="http://schemas.openxmlformats.org/officeDocument/2006/relationships/hyperlink" Target="https://www.sec.gov/Archives/edgar/data/46080/000095012310023420/b80058exv4w1.htm" TargetMode="External"/><Relationship Id="rId13" Type="http://schemas.openxmlformats.org/officeDocument/2006/relationships/hyperlink" Target="https://www.sec.gov/Archives/edgar/data/46080/000119312514196726/d727293dex41.htm" TargetMode="External"/><Relationship Id="rId14" Type="http://schemas.openxmlformats.org/officeDocument/2006/relationships/hyperlink" Target="https://www.sec.gov/Archives/edgar/data/46080/000119312517283854/d456734dex41.htm" TargetMode="External"/><Relationship Id="rId15" Type="http://schemas.openxmlformats.org/officeDocument/2006/relationships/hyperlink" Target="https://www.sec.gov/Archives/edgar/data/46080/000119312519295544/d822953dex12.htm" TargetMode="External"/><Relationship Id="rId16" Type="http://schemas.openxmlformats.org/officeDocument/2006/relationships/hyperlink" Target="https://www.sec.gov/Archives/edgar/data/46080/000119312524138322/d838682dex4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24935</Words>
  <Characters>137776</Characters>
  <CharactersWithSpaces>160848</CharactersWithSpaces>
  <Paragraphs>3789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