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2720.xml.htm"/>
      <w:bookmarkStart w:id="1" w:name="kswkform4_17854427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Hight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HASBRO,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 NEWPORT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PAWTUCKET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02861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HASBRO, INC.</w:t>
              </w:r>
            </w:hyperlink>
            <w:r>
              <w:rPr/>
              <w:t xml:space="preserve"> [ </w:t>
            </w:r>
            <w:r>
              <w:rPr>
                <w:rFonts w:ascii="Times;serif" w:hAnsi="Times;serif"/>
                <w:color w:val="0000FF"/>
                <w:sz w:val="24"/>
                <w:shd w:fill="FFFFFF" w:val="clear"/>
              </w:rPr>
              <w:t>HAS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WOTC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93.7071</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67,557</w:t>
            </w:r>
            <w:r>
              <w:rPr>
                <w:rFonts w:ascii="Times;serif" w:hAnsi="Times;serif"/>
                <w:color w:val="008000"/>
                <w:position w:val="7"/>
                <w:sz w:val="16"/>
                <w:sz w:val="20"/>
                <w:shd w:fill="FFFFFF" w:val="clear"/>
              </w:rPr>
              <w:t>(2)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93.7000 to 93.7600, inclusive. The reporting person undertakes to provide to Hasbro, Inc., any security holder of Hasbro, Inc. or the staff of the Securities and Exchange Commission, upon request, full information regarding the number of shares sold at each separate price within the ranges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securities reported in Column 5 as beneficially owned following the transactions reported on this form has been adjusted to reflect an aggregate of 544 net additional shares issued upon vesting of previously accrued DEUs. The number of securities reported in Column 5 also includes 56,285 shares currently subject to unvested RSUs previously reported.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Gilman, P/O/A for John Hight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439" TargetMode="External"/><Relationship Id="rId5" Type="http://schemas.openxmlformats.org/officeDocument/2006/relationships/hyperlink" Target="http://www.sec.gov/cgi-bin/browse-edgar?action=getcompany&amp;CIK=00000460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3794</Characters>
  <CharactersWithSpaces>4425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