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4"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__________________</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11"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__________________</w:t>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7" w:lineRule="exact"/>
        <w:rPr>
          <w:sz w:val="24"/>
          <w:szCs w:val="24"/>
          <w:color w:val="auto"/>
        </w:rPr>
      </w:pPr>
    </w:p>
    <w:p>
      <w:pPr>
        <w:ind w:left="620" w:hanging="396"/>
        <w:spacing w:after="0"/>
        <w:tabs>
          <w:tab w:leader="none" w:pos="6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14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25, 2022</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08" w:lineRule="exact"/>
        <w:rPr>
          <w:sz w:val="24"/>
          <w:szCs w:val="24"/>
          <w:color w:val="auto"/>
        </w:rPr>
      </w:pPr>
    </w:p>
    <w:p>
      <w:pPr>
        <w:ind w:left="4360" w:right="1400" w:hanging="4136"/>
        <w:spacing w:after="0" w:line="383" w:lineRule="auto"/>
        <w:tabs>
          <w:tab w:leader="none" w:pos="6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Commission File Number 1-6682</w:t>
      </w:r>
    </w:p>
    <w:p>
      <w:pPr>
        <w:ind w:left="48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__________________</w:t>
      </w:r>
    </w:p>
    <w:p>
      <w:pPr>
        <w:spacing w:after="0" w:line="17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HASBRO, INC.</w:t>
      </w:r>
    </w:p>
    <w:p>
      <w:pPr>
        <w:spacing w:after="0" w:line="4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180"/>
          </w:cols>
          <w:pgMar w:left="320" w:top="988" w:right="399" w:bottom="1440" w:gutter="0" w:footer="0" w:header="0"/>
        </w:sectPr>
      </w:pPr>
    </w:p>
    <w:p>
      <w:pPr>
        <w:spacing w:after="0" w:line="32" w:lineRule="exact"/>
        <w:rPr>
          <w:sz w:val="24"/>
          <w:szCs w:val="24"/>
          <w:color w:val="auto"/>
        </w:rPr>
      </w:pPr>
    </w:p>
    <w:p>
      <w:pPr>
        <w:ind w:left="2380"/>
        <w:spacing w:after="0"/>
        <w:rPr>
          <w:sz w:val="20"/>
          <w:szCs w:val="20"/>
          <w:color w:val="auto"/>
        </w:rPr>
      </w:pPr>
      <w:r>
        <w:rPr>
          <w:rFonts w:ascii="Times New Roman" w:cs="Times New Roman" w:eastAsia="Times New Roman" w:hAnsi="Times New Roman"/>
          <w:sz w:val="17"/>
          <w:szCs w:val="17"/>
          <w:b w:val="1"/>
          <w:bCs w:val="1"/>
          <w:color w:val="auto"/>
        </w:rPr>
        <w:t>Rhode Island</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05-0155090</w:t>
      </w:r>
    </w:p>
    <w:p>
      <w:pPr>
        <w:spacing w:after="0" w:line="65" w:lineRule="exact"/>
        <w:rPr>
          <w:sz w:val="24"/>
          <w:szCs w:val="24"/>
          <w:color w:val="auto"/>
        </w:rPr>
      </w:pPr>
    </w:p>
    <w:p>
      <w:pPr>
        <w:sectPr>
          <w:pgSz w:w="11900" w:h="16838" w:orient="portrait"/>
          <w:cols w:equalWidth="0" w:num="2">
            <w:col w:w="7220" w:space="720"/>
            <w:col w:w="3240"/>
          </w:cols>
          <w:pgMar w:left="320" w:top="988" w:right="399" w:bottom="1440" w:gutter="0" w:footer="0" w:header="0"/>
          <w:type w:val="continuous"/>
        </w:sectPr>
      </w:pPr>
    </w:p>
    <w:p>
      <w:pPr>
        <w:ind w:left="740"/>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140" w:lineRule="exact"/>
        <w:rPr>
          <w:sz w:val="24"/>
          <w:szCs w:val="24"/>
          <w:color w:val="auto"/>
        </w:rPr>
      </w:pPr>
    </w:p>
    <w:p>
      <w:pPr>
        <w:sectPr>
          <w:pgSz w:w="11900" w:h="16838" w:orient="portrait"/>
          <w:cols w:equalWidth="0" w:num="2">
            <w:col w:w="6340" w:space="720"/>
            <w:col w:w="4120"/>
          </w:cols>
          <w:pgMar w:left="320" w:top="988" w:right="399" w:bottom="1440" w:gutter="0" w:footer="0" w:header="0"/>
          <w:type w:val="continuous"/>
        </w:sectPr>
      </w:pPr>
    </w:p>
    <w:p>
      <w:pPr>
        <w:ind w:left="2060"/>
        <w:spacing w:after="0"/>
        <w:rPr>
          <w:sz w:val="20"/>
          <w:szCs w:val="20"/>
          <w:color w:val="auto"/>
        </w:rPr>
      </w:pPr>
      <w:r>
        <w:rPr>
          <w:rFonts w:ascii="Times New Roman" w:cs="Times New Roman" w:eastAsia="Times New Roman" w:hAnsi="Times New Roman"/>
          <w:sz w:val="17"/>
          <w:szCs w:val="17"/>
          <w:b w:val="1"/>
          <w:bCs w:val="1"/>
          <w:color w:val="auto"/>
        </w:rPr>
        <w:t>1027 Newport Avenue</w:t>
      </w:r>
    </w:p>
    <w:p>
      <w:pPr>
        <w:sectPr>
          <w:pgSz w:w="11900" w:h="16838" w:orient="portrait"/>
          <w:cols w:equalWidth="0" w:num="1">
            <w:col w:w="11180"/>
          </w:cols>
          <w:pgMar w:left="320" w:top="988" w:right="399" w:bottom="1440" w:gutter="0" w:footer="0" w:header="0"/>
          <w:type w:val="continuous"/>
        </w:sectPr>
      </w:pPr>
    </w:p>
    <w:p>
      <w:pPr>
        <w:spacing w:after="0" w:line="61" w:lineRule="exact"/>
        <w:rPr>
          <w:sz w:val="24"/>
          <w:szCs w:val="24"/>
          <w:color w:val="auto"/>
        </w:rPr>
      </w:pPr>
    </w:p>
    <w:p>
      <w:pPr>
        <w:ind w:left="1980"/>
        <w:spacing w:after="0"/>
        <w:rPr>
          <w:sz w:val="20"/>
          <w:szCs w:val="20"/>
          <w:color w:val="auto"/>
        </w:rPr>
      </w:pPr>
      <w:r>
        <w:rPr>
          <w:rFonts w:ascii="Times New Roman" w:cs="Times New Roman" w:eastAsia="Times New Roman" w:hAnsi="Times New Roman"/>
          <w:sz w:val="18"/>
          <w:szCs w:val="18"/>
          <w:b w:val="1"/>
          <w:bCs w:val="1"/>
          <w:color w:val="auto"/>
        </w:rPr>
        <w:t>Pawtucket, Rhode Island</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02861</w:t>
      </w:r>
    </w:p>
    <w:p>
      <w:pPr>
        <w:spacing w:after="0" w:line="54" w:lineRule="exact"/>
        <w:rPr>
          <w:sz w:val="24"/>
          <w:szCs w:val="24"/>
          <w:color w:val="auto"/>
        </w:rPr>
      </w:pPr>
    </w:p>
    <w:p>
      <w:pPr>
        <w:sectPr>
          <w:pgSz w:w="11900" w:h="16838" w:orient="portrait"/>
          <w:cols w:equalWidth="0" w:num="2">
            <w:col w:w="7420" w:space="720"/>
            <w:col w:w="3040"/>
          </w:cols>
          <w:pgMar w:left="320" w:top="988" w:right="399" w:bottom="1440" w:gutter="0" w:footer="0" w:header="0"/>
          <w:type w:val="continuous"/>
        </w:sectPr>
      </w:pPr>
    </w:p>
    <w:p>
      <w:pPr>
        <w:ind w:left="14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(Zip Code)</w:t>
      </w:r>
    </w:p>
    <w:p>
      <w:pPr>
        <w:spacing w:after="0" w:line="165" w:lineRule="exact"/>
        <w:rPr>
          <w:sz w:val="24"/>
          <w:szCs w:val="24"/>
          <w:color w:val="auto"/>
        </w:rPr>
      </w:pPr>
    </w:p>
    <w:p>
      <w:pPr>
        <w:sectPr>
          <w:pgSz w:w="11900" w:h="16838" w:orient="portrait"/>
          <w:cols w:equalWidth="0" w:num="2">
            <w:col w:w="7260" w:space="720"/>
            <w:col w:w="3200"/>
          </w:cols>
          <w:pgMar w:left="320" w:top="988" w:right="399" w:bottom="1440" w:gutter="0" w:footer="0" w:header="0"/>
          <w:type w:val="continuous"/>
        </w:sect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(401) 431-8697</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232"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180"/>
          </w:cols>
          <w:pgMar w:left="320" w:top="988" w:right="399" w:bottom="1440" w:gutter="0" w:footer="0" w:header="0"/>
          <w:type w:val="continuous"/>
        </w:sectPr>
      </w:pPr>
    </w:p>
    <w:p>
      <w:pPr>
        <w:spacing w:after="0" w:line="144"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7"/>
          <w:szCs w:val="17"/>
          <w:color w:val="auto"/>
        </w:rPr>
        <w:t>Title of each class</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Trading Symbol(s)</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Name of each exchange on which registered</w:t>
      </w:r>
    </w:p>
    <w:p>
      <w:pPr>
        <w:spacing w:after="0" w:line="27" w:lineRule="exact"/>
        <w:rPr>
          <w:sz w:val="24"/>
          <w:szCs w:val="24"/>
          <w:color w:val="auto"/>
        </w:rPr>
      </w:pPr>
    </w:p>
    <w:p>
      <w:pPr>
        <w:sectPr>
          <w:pgSz w:w="11900" w:h="16838" w:orient="portrait"/>
          <w:cols w:equalWidth="0" w:num="3">
            <w:col w:w="4200" w:space="720"/>
            <w:col w:w="1640" w:space="720"/>
            <w:col w:w="3900"/>
          </w:cols>
          <w:pgMar w:left="320" w:top="988" w:right="399" w:bottom="1440" w:gutter="0" w:footer="0" w:header="0"/>
          <w:type w:val="continuous"/>
        </w:sectPr>
      </w:pPr>
    </w:p>
    <w:p>
      <w:pPr>
        <w:ind w:left="740"/>
        <w:spacing w:after="0"/>
        <w:rPr>
          <w:sz w:val="20"/>
          <w:szCs w:val="20"/>
          <w:color w:val="auto"/>
        </w:rPr>
      </w:pPr>
      <w:r>
        <w:rPr>
          <w:rFonts w:ascii="Times New Roman" w:cs="Times New Roman" w:eastAsia="Times New Roman" w:hAnsi="Times New Roman"/>
          <w:sz w:val="17"/>
          <w:szCs w:val="17"/>
          <w:b w:val="1"/>
          <w:bCs w:val="1"/>
          <w:color w:val="auto"/>
        </w:rPr>
        <w:t>Common Stock, $0.50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HAS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b w:val="1"/>
          <w:bCs w:val="1"/>
          <w:color w:val="auto"/>
        </w:rPr>
        <w:t>The NASDAQ Global Select Market</w:t>
      </w:r>
    </w:p>
    <w:p>
      <w:pPr>
        <w:spacing w:after="0" w:line="137" w:lineRule="exact"/>
        <w:rPr>
          <w:sz w:val="24"/>
          <w:szCs w:val="24"/>
          <w:color w:val="auto"/>
        </w:rPr>
      </w:pPr>
    </w:p>
    <w:p>
      <w:pPr>
        <w:sectPr>
          <w:pgSz w:w="11900" w:h="16838" w:orient="portrait"/>
          <w:cols w:equalWidth="0" w:num="3">
            <w:col w:w="4700" w:space="720"/>
            <w:col w:w="1480" w:space="720"/>
            <w:col w:w="3560"/>
          </w:cols>
          <w:pgMar w:left="320" w:top="988" w:right="399" w:bottom="1440" w:gutter="0" w:footer="0" w:header="0"/>
          <w:type w:val="continuous"/>
        </w:sect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41" w:lineRule="exact"/>
        <w:rPr>
          <w:sz w:val="24"/>
          <w:szCs w:val="24"/>
          <w:color w:val="auto"/>
        </w:rPr>
      </w:pPr>
    </w:p>
    <w:p>
      <w:pPr>
        <w:ind w:right="240" w:firstLine="567"/>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[x] No [ ]</w:t>
      </w:r>
    </w:p>
    <w:p>
      <w:pPr>
        <w:spacing w:after="0" w:line="13" w:lineRule="exact"/>
        <w:rPr>
          <w:sz w:val="24"/>
          <w:szCs w:val="24"/>
          <w:color w:val="auto"/>
        </w:rPr>
      </w:pPr>
    </w:p>
    <w:p>
      <w:pPr>
        <w:ind w:right="100" w:firstLine="567"/>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66" w:lineRule="exact"/>
        <w:rPr>
          <w:sz w:val="24"/>
          <w:szCs w:val="24"/>
          <w:color w:val="auto"/>
        </w:rPr>
      </w:pPr>
    </w:p>
    <w:tbl>
      <w:tblPr>
        <w:tblLayout w:type="fixed"/>
        <w:tblInd w:w="660" w:type="dxa"/>
        <w:tblCellMar>
          <w:top w:w="0" w:type="dxa"/>
          <w:left w:w="0" w:type="dxa"/>
          <w:bottom w:w="0" w:type="dxa"/>
          <w:right w:w="0" w:type="dxa"/>
        </w:tblCellMar>
      </w:tblPr>
      <w:tr>
        <w:trPr>
          <w:trHeight w:val="257"/>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80" w:type="dxa"/>
            <w:vAlign w:val="bottom"/>
          </w:tcPr>
          <w:p>
            <w:pPr>
              <w:ind w:left="320"/>
              <w:spacing w:after="0"/>
              <w:rPr>
                <w:sz w:val="20"/>
                <w:szCs w:val="20"/>
                <w:color w:val="auto"/>
              </w:rPr>
            </w:pPr>
            <w:r>
              <w:rPr>
                <w:rFonts w:ascii="Arial" w:cs="Arial" w:eastAsia="Arial" w:hAnsi="Arial"/>
                <w:sz w:val="18"/>
                <w:szCs w:val="18"/>
                <w:color w:val="auto"/>
              </w:rPr>
              <w:t>x</w:t>
            </w:r>
          </w:p>
        </w:tc>
        <w:tc>
          <w:tcPr>
            <w:tcW w:w="422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Accelerated filer</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7"/>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422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22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Emerging growth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97" w:lineRule="exact"/>
        <w:rPr>
          <w:sz w:val="24"/>
          <w:szCs w:val="24"/>
          <w:color w:val="auto"/>
        </w:rPr>
      </w:pPr>
    </w:p>
    <w:p>
      <w:pPr>
        <w:ind w:right="180" w:firstLine="567"/>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92" w:lineRule="exact"/>
        <w:rPr>
          <w:sz w:val="24"/>
          <w:szCs w:val="24"/>
          <w:color w:val="auto"/>
        </w:rPr>
      </w:pPr>
    </w:p>
    <w:p>
      <w:pPr>
        <w:ind w:left="580"/>
        <w:spacing w:after="0" w:line="207" w:lineRule="exact"/>
        <w:tabs>
          <w:tab w:leader="none" w:pos="914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r>
        <w:rPr>
          <w:sz w:val="20"/>
          <w:szCs w:val="20"/>
          <w:color w:val="auto"/>
        </w:rPr>
        <w:tab/>
      </w: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[x]</w:t>
      </w:r>
    </w:p>
    <w:p>
      <w:pPr>
        <w:spacing w:after="0" w:line="213"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8"/>
          <w:szCs w:val="18"/>
          <w:color w:val="auto"/>
        </w:rPr>
        <w:t>The number of shares of Common Stock, par value $.50 per share, outstanding as of October 18, 2022 was 138,113,722.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561975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8" w:right="3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212529"/>
        </w:rPr>
        <w:t>Forward Looking Statement Safe Harbor</w:t>
      </w:r>
    </w:p>
    <w:p>
      <w:pPr>
        <w:spacing w:after="0" w:line="12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212529"/>
        </w:rPr>
        <w:t>Certain statements in this Form 10-Q contain "forward-looking statements" within the meaning of the Private Securities Litigation Reform Act of 1995. These statements, which may be identified by the use of forward-looking words or phrases, include statements relating to: our business strategies; the ability to achieve our financial and business goals and objectives; anticipated financial performance or business prospects in future periods; expectations relating to our operational excellence program, including anticipated cost savings and cash costs to achieve savings; expectations relating to products, gaming and entertainment to be developed and delivered in the near term; expected benefits and plans relating to acquired brands, properties and businesses; marketing and promotional efforts; research and development activities; actions taken to mitigate the impact of inflation; capital expenditures; working capital; inventory; liquidity; financing sources; timing of and amount of repayment of indebtedness; capital allocation strategy, including plans for dividends and share repurchases; and other financial, tax, accounting and similar matters. Our actual actions or results may differ materially from those expected or anticipated in the forward-looking statements due to both known and unknown risks and uncertainties. Factors that might cause such a difference include, but are not limited to:</w:t>
      </w:r>
    </w:p>
    <w:p>
      <w:pPr>
        <w:spacing w:after="0" w:line="73" w:lineRule="exact"/>
        <w:rPr>
          <w:sz w:val="20"/>
          <w:szCs w:val="20"/>
          <w:color w:val="auto"/>
        </w:rPr>
      </w:pPr>
    </w:p>
    <w:p>
      <w:pPr>
        <w:ind w:left="660" w:right="20" w:hanging="328"/>
        <w:spacing w:after="0" w:line="244"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successfully execute on our Blueprint 2.0 strategy, including to focus on and scale select business initiatives and brands to drive profitability;</w:t>
      </w:r>
    </w:p>
    <w:p>
      <w:pPr>
        <w:spacing w:after="0" w:line="53"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design, develop, manufacture, and ship products on a timely, cost-effective and profitable basis;</w:t>
      </w:r>
    </w:p>
    <w:p>
      <w:pPr>
        <w:spacing w:after="0" w:line="76" w:lineRule="exact"/>
        <w:rPr>
          <w:rFonts w:ascii="Arial" w:cs="Arial" w:eastAsia="Arial" w:hAnsi="Arial"/>
          <w:sz w:val="22"/>
          <w:szCs w:val="22"/>
          <w:color w:val="auto"/>
        </w:rPr>
      </w:pPr>
    </w:p>
    <w:p>
      <w:pPr>
        <w:jc w:val="both"/>
        <w:ind w:left="660" w:hanging="328"/>
        <w:spacing w:after="0" w:line="239"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successfully compete in the global play and entertainment industry, including with manufacturers, marketers, and sellers of toys and games, digital gaming products and digital media, as well as with film studios, television production companies and independent distributors and content producers;</w:t>
      </w:r>
    </w:p>
    <w:p>
      <w:pPr>
        <w:spacing w:after="0" w:line="59"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successfully evolve and transform our business and capabilities to successfully address the global consumer landscape;</w:t>
      </w:r>
    </w:p>
    <w:p>
      <w:pPr>
        <w:spacing w:after="0" w:line="76" w:lineRule="exact"/>
        <w:rPr>
          <w:rFonts w:ascii="Arial" w:cs="Arial" w:eastAsia="Arial" w:hAnsi="Arial"/>
          <w:sz w:val="22"/>
          <w:szCs w:val="22"/>
          <w:color w:val="auto"/>
        </w:rPr>
      </w:pPr>
    </w:p>
    <w:p>
      <w:pPr>
        <w:jc w:val="both"/>
        <w:ind w:left="660" w:hanging="328"/>
        <w:spacing w:after="0" w:line="239"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inflation and downturns in global and regional economic conditions impacting one or more of the markets in which we sell products, which can negatively impact our retail customers and consumers, result in lower employment levels, consumer disposable income, retailer inventories and spending, including lower spending on purchases of our products;</w:t>
      </w:r>
    </w:p>
    <w:p>
      <w:pPr>
        <w:spacing w:after="0" w:line="78" w:lineRule="exact"/>
        <w:rPr>
          <w:rFonts w:ascii="Arial" w:cs="Arial" w:eastAsia="Arial" w:hAnsi="Arial"/>
          <w:sz w:val="22"/>
          <w:szCs w:val="22"/>
          <w:color w:val="auto"/>
        </w:rPr>
      </w:pPr>
    </w:p>
    <w:p>
      <w:pPr>
        <w:ind w:left="660" w:hanging="328"/>
        <w:spacing w:after="0" w:line="234"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our dependence on third party relationships, including with third party manufacturers, licensors of brands, studios, content producers and entertainment distribution channels;</w:t>
      </w:r>
    </w:p>
    <w:p>
      <w:pPr>
        <w:spacing w:after="0" w:line="78" w:lineRule="exact"/>
        <w:rPr>
          <w:rFonts w:ascii="Arial" w:cs="Arial" w:eastAsia="Arial" w:hAnsi="Arial"/>
          <w:sz w:val="22"/>
          <w:szCs w:val="22"/>
          <w:color w:val="auto"/>
        </w:rPr>
      </w:pPr>
    </w:p>
    <w:p>
      <w:pPr>
        <w:ind w:left="660" w:right="20" w:hanging="328"/>
        <w:spacing w:after="0" w:line="244"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risks relating to the concentration of manufacturing for many of our products in the People’s Republic of China and our ability to successfully diversify sourcing of our products to reduce reliance on sources of supply in China;</w:t>
      </w:r>
    </w:p>
    <w:p>
      <w:pPr>
        <w:spacing w:after="0" w:line="72" w:lineRule="exact"/>
        <w:rPr>
          <w:rFonts w:ascii="Arial" w:cs="Arial" w:eastAsia="Arial" w:hAnsi="Arial"/>
          <w:sz w:val="22"/>
          <w:szCs w:val="22"/>
          <w:color w:val="auto"/>
        </w:rPr>
      </w:pPr>
    </w:p>
    <w:p>
      <w:pPr>
        <w:jc w:val="both"/>
        <w:ind w:left="660" w:hanging="328"/>
        <w:spacing w:after="0" w:line="243"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risks related to economic and public health conditions or regulatory changes in the markets in which we and our customers, partners, licensees, suppliers and manufacturers operate, such as inflation, rising interest rates, higher commodity prices, labor costs or transportation costs, the coronavirus or other outbreaks of disease, the occurrence of which could create work slowdowns, delays or shortages in production or shipment of products, increases in costs or delays in revenue;</w:t>
      </w:r>
    </w:p>
    <w:p>
      <w:pPr>
        <w:spacing w:after="0" w:line="73" w:lineRule="exact"/>
        <w:rPr>
          <w:rFonts w:ascii="Arial" w:cs="Arial" w:eastAsia="Arial" w:hAnsi="Arial"/>
          <w:sz w:val="22"/>
          <w:szCs w:val="22"/>
          <w:color w:val="auto"/>
        </w:rPr>
      </w:pPr>
    </w:p>
    <w:p>
      <w:pPr>
        <w:ind w:left="660" w:hanging="328"/>
        <w:spacing w:after="0" w:line="234"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risks associated with international operations, such as currency conversion, currency fluctuations, the imposition of tariffs, quotas, shipping delays or difficulties, border adjustment taxes or other protectionist measures, and other challenges in the territories in which we operate;</w:t>
      </w:r>
    </w:p>
    <w:p>
      <w:pPr>
        <w:spacing w:after="0" w:line="78" w:lineRule="exact"/>
        <w:rPr>
          <w:rFonts w:ascii="Arial" w:cs="Arial" w:eastAsia="Arial" w:hAnsi="Arial"/>
          <w:sz w:val="22"/>
          <w:szCs w:val="22"/>
          <w:color w:val="auto"/>
        </w:rPr>
      </w:pPr>
    </w:p>
    <w:p>
      <w:pPr>
        <w:ind w:left="660" w:hanging="328"/>
        <w:spacing w:after="0" w:line="234"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the success of our key partner brands, including the ability to secure, maintain and extend agreements with our key partners or the risk of delays, increased costs or difficulties associated with any of our or our partners’ planned digital applications or media initiatives;</w:t>
      </w:r>
    </w:p>
    <w:p>
      <w:pPr>
        <w:spacing w:after="0" w:line="59"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risks related to our leadership changes;</w:t>
      </w:r>
    </w:p>
    <w:p>
      <w:pPr>
        <w:spacing w:after="0" w:line="57"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attract and retain talented and diverse employees;</w:t>
      </w:r>
    </w:p>
    <w:p>
      <w:pPr>
        <w:spacing w:after="0" w:line="71"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realize the benefits of cost-savings and efficiency and/or revenue and operating profit enhancing initiatives;</w:t>
      </w:r>
    </w:p>
    <w:p>
      <w:pPr>
        <w:spacing w:after="0" w:line="57"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risks relating to the impairment and/or write-offs of products and content we acquire and produce;</w:t>
      </w:r>
    </w:p>
    <w:p>
      <w:pPr>
        <w:spacing w:after="0" w:line="57"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risks relating to investments, acquisitions and dispositions, including the ability to realize the anticipated benefits of acquired assets or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544195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2" w:name="page3"/>
    <w:bookmarkEnd w:id="2"/>
    <w:p>
      <w:pPr>
        <w:ind w:left="660" w:hanging="328"/>
        <w:spacing w:after="0" w:line="234" w:lineRule="auto"/>
        <w:tabs>
          <w:tab w:leader="none" w:pos="655"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protect our assets and intellectual property, including as a result of infringement, theft, misappropriation, cyber-attacks or other acts compromising the integrity of our assets or intellectual property;</w:t>
      </w:r>
    </w:p>
    <w:p>
      <w:pPr>
        <w:spacing w:after="0" w:line="59"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fluctuations in our business due to seasonality;</w:t>
      </w:r>
    </w:p>
    <w:p>
      <w:pPr>
        <w:spacing w:after="0" w:line="57"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the risk of product recalls or product liability suits and costs associated with product safety regulations;</w:t>
      </w:r>
    </w:p>
    <w:p>
      <w:pPr>
        <w:spacing w:after="0" w:line="89" w:lineRule="exact"/>
        <w:rPr>
          <w:rFonts w:ascii="Arial" w:cs="Arial" w:eastAsia="Arial" w:hAnsi="Arial"/>
          <w:sz w:val="22"/>
          <w:szCs w:val="22"/>
          <w:color w:val="auto"/>
        </w:rPr>
      </w:pPr>
    </w:p>
    <w:p>
      <w:pPr>
        <w:ind w:left="660" w:hanging="328"/>
        <w:spacing w:after="0" w:line="234" w:lineRule="auto"/>
        <w:tabs>
          <w:tab w:leader="none" w:pos="655"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changes in tax laws or regulations, or the interpretation and application of such laws and regulations, which may cause us to alter tax reserves or make other changes which significantly impact our reported financial results;</w:t>
      </w:r>
    </w:p>
    <w:p>
      <w:pPr>
        <w:spacing w:after="0" w:line="59"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the impact of litigation or arbitration decisions or settlement actions;</w:t>
      </w:r>
    </w:p>
    <w:p>
      <w:pPr>
        <w:spacing w:after="0" w:line="76" w:lineRule="exact"/>
        <w:rPr>
          <w:rFonts w:ascii="Arial" w:cs="Arial" w:eastAsia="Arial" w:hAnsi="Arial"/>
          <w:sz w:val="22"/>
          <w:szCs w:val="22"/>
          <w:color w:val="auto"/>
        </w:rPr>
      </w:pPr>
    </w:p>
    <w:p>
      <w:pPr>
        <w:ind w:left="660" w:hanging="328"/>
        <w:spacing w:after="0" w:line="234" w:lineRule="auto"/>
        <w:tabs>
          <w:tab w:leader="none" w:pos="655"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the concentration of our customers, potentially increasing the negative impact to our business of difficulties experienced by any of our customers or changes in their purchasing or selling patterns;</w:t>
      </w:r>
    </w:p>
    <w:p>
      <w:pPr>
        <w:spacing w:after="0" w:line="59"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the bankruptcy or other lack of success of one or more of our significant retailers, licensees and other partners; and</w:t>
      </w:r>
    </w:p>
    <w:p>
      <w:pPr>
        <w:spacing w:after="0" w:line="57"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other risks and uncertainties as may be detailed in our public announcements and U.S. Securities and Exchange Commission (“SEC”) filings.</w:t>
      </w:r>
    </w:p>
    <w:p>
      <w:pPr>
        <w:spacing w:after="0" w:line="10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212529"/>
        </w:rPr>
        <w:t>The statements contained herein are based on our current beliefs and expectations. We undertake no obligation to make any revisions to the forward-looking statements contained in this Form 10-Q or to update them to reflect events or circumstances occurring after the date of this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521335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HASBRO,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(Millions of Dollars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25,</w:t>
            </w:r>
          </w:p>
        </w:tc>
        <w:tc>
          <w:tcPr>
            <w:tcW w:w="140" w:type="dxa"/>
            <w:vAlign w:val="bottom"/>
          </w:tcPr>
          <w:p>
            <w:pPr>
              <w:spacing w:after="0"/>
              <w:rPr>
                <w:sz w:val="16"/>
                <w:szCs w:val="16"/>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26,</w:t>
            </w:r>
          </w:p>
        </w:tc>
        <w:tc>
          <w:tcPr>
            <w:tcW w:w="140" w:type="dxa"/>
            <w:vAlign w:val="bottom"/>
          </w:tcPr>
          <w:p>
            <w:pPr>
              <w:spacing w:after="0"/>
              <w:rPr>
                <w:sz w:val="16"/>
                <w:szCs w:val="16"/>
                <w:color w:val="auto"/>
              </w:rPr>
            </w:pPr>
          </w:p>
        </w:tc>
        <w:tc>
          <w:tcPr>
            <w:tcW w:w="1180" w:type="dxa"/>
            <w:vAlign w:val="bottom"/>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December 26,</w:t>
            </w:r>
          </w:p>
        </w:tc>
        <w:tc>
          <w:tcPr>
            <w:tcW w:w="0" w:type="dxa"/>
            <w:vAlign w:val="bottom"/>
          </w:tcPr>
          <w:p>
            <w:pPr>
              <w:spacing w:after="0"/>
              <w:rPr>
                <w:sz w:val="1"/>
                <w:szCs w:val="1"/>
                <w:color w:val="auto"/>
              </w:rPr>
            </w:pPr>
          </w:p>
        </w:tc>
      </w:tr>
      <w:tr>
        <w:trPr>
          <w:trHeight w:val="214"/>
        </w:trPr>
        <w:tc>
          <w:tcPr>
            <w:tcW w:w="2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61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32"/>
        </w:trPr>
        <w:tc>
          <w:tcPr>
            <w:tcW w:w="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spacing w:after="0" w:line="184" w:lineRule="exact"/>
              <w:rPr>
                <w:sz w:val="20"/>
                <w:szCs w:val="20"/>
                <w:color w:val="auto"/>
              </w:rPr>
            </w:pPr>
            <w:r>
              <w:rPr>
                <w:rFonts w:ascii="Times New Roman" w:cs="Times New Roman" w:eastAsia="Times New Roman" w:hAnsi="Times New Roman"/>
                <w:sz w:val="18"/>
                <w:szCs w:val="18"/>
                <w:b w:val="1"/>
                <w:bCs w:val="1"/>
                <w:color w:val="auto"/>
                <w:w w:val="98"/>
              </w:rPr>
              <w:t>ASSETS</w:t>
            </w:r>
          </w:p>
        </w:tc>
        <w:tc>
          <w:tcPr>
            <w:tcW w:w="6320" w:type="dxa"/>
            <w:vAlign w:val="bottom"/>
            <w:tcBorders>
              <w:bottom w:val="single" w:sz="8" w:color="CCEEFF"/>
            </w:tcBorders>
            <w:gridSpan w:val="2"/>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700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Cash and cash equivalents including restricted cash of $6.1 million, $94.9 million and</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0" w:type="dxa"/>
            <w:vAlign w:val="bottom"/>
            <w:shd w:val="clear" w:color="auto" w:fill="CCEEFF"/>
          </w:tcPr>
          <w:p>
            <w:pPr>
              <w:spacing w:after="0"/>
              <w:rPr>
                <w:sz w:val="22"/>
                <w:szCs w:val="22"/>
                <w:color w:val="auto"/>
              </w:rPr>
            </w:pPr>
          </w:p>
        </w:tc>
        <w:tc>
          <w:tcPr>
            <w:tcW w:w="700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$35.8 million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0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Accounts receivable, less allowance for doubtful accounts of $21.8 million, $30.4 million</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and $22.9 million</w:t>
            </w:r>
          </w:p>
        </w:tc>
        <w:tc>
          <w:tcPr>
            <w:tcW w:w="1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00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Inventories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656.4</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700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Assets held for sale</w:t>
            </w: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3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3,260.5</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3,730.4</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3,728.1</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7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less accumulated depreciation of $640.3 million, $607.6 million</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0" w:type="dxa"/>
            <w:vAlign w:val="bottom"/>
            <w:shd w:val="clear" w:color="auto" w:fill="CCEEFF"/>
          </w:tcPr>
          <w:p>
            <w:pPr>
              <w:spacing w:after="0"/>
              <w:rPr>
                <w:sz w:val="22"/>
                <w:szCs w:val="22"/>
                <w:color w:val="auto"/>
              </w:rPr>
            </w:pPr>
          </w:p>
        </w:tc>
        <w:tc>
          <w:tcPr>
            <w:tcW w:w="70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and $630.0 million</w:t>
            </w:r>
          </w:p>
        </w:tc>
        <w:tc>
          <w:tcPr>
            <w:tcW w:w="14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411.8</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441.9</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00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3,469.8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3,420.2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3,419.6</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0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Other intangible assets, net of accumulated amortization of $1,094.6 million, $1,027.4</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million and $1,050.4 million</w:t>
            </w:r>
          </w:p>
        </w:tc>
        <w:tc>
          <w:tcPr>
            <w:tcW w:w="1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00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1,297.0</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632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Total other assets</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5,953.8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6,058.1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5,888.6</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63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10,230.4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10,037.8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820" w:type="dxa"/>
            <w:vAlign w:val="bottom"/>
            <w:tcBorders>
              <w:top w:val="single" w:sz="8" w:color="CCEEFF"/>
              <w:bottom w:val="single" w:sz="8" w:color="CCEEFF"/>
            </w:tcBorders>
            <w:gridSpan w:val="2"/>
            <w:vMerge w:val="restart"/>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9"/>
              </w:rPr>
              <w:t>LIABILITIES, NONCONTROLLING INTERESTS AND SHAREHOLDERS' EQUITY</w:t>
            </w: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vMerge w:val="continue"/>
          </w:tcPr>
          <w:p>
            <w:pPr>
              <w:spacing w:after="0"/>
              <w:rPr>
                <w:sz w:val="13"/>
                <w:szCs w:val="13"/>
                <w:color w:val="auto"/>
              </w:rPr>
            </w:pPr>
          </w:p>
        </w:tc>
        <w:tc>
          <w:tcPr>
            <w:tcW w:w="6820" w:type="dxa"/>
            <w:vAlign w:val="bottom"/>
            <w:tcBorders>
              <w:bottom w:val="single" w:sz="8" w:color="auto"/>
            </w:tcBorders>
            <w:gridSpan w:val="2"/>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Current liabilities</w:t>
      </w:r>
    </w:p>
    <w:p>
      <w:pPr>
        <w:spacing w:after="0" w:line="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Short-term borrowings</w:t>
      </w:r>
    </w:p>
    <w:p>
      <w:pPr>
        <w:spacing w:after="0" w:line="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Current portion of long-term debt</w:t>
      </w:r>
    </w:p>
    <w:p>
      <w:pPr>
        <w:spacing w:after="0" w:line="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Accounts payable</w:t>
      </w:r>
    </w:p>
    <w:p>
      <w:pPr>
        <w:spacing w:after="0" w:line="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Accrued liabilities</w:t>
      </w:r>
    </w:p>
    <w:p>
      <w:pPr>
        <w:spacing w:after="0" w:line="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Liabilities held for sale</w:t>
      </w:r>
    </w:p>
    <w:p>
      <w:pPr>
        <w:spacing w:after="0" w:line="6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Total current liabilities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Long-term debt</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liabilities</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spacing w:after="0"/>
        <w:tabs>
          <w:tab w:leader="none" w:pos="820" w:val="left"/>
          <w:tab w:leader="none" w:pos="1440" w:val="left"/>
          <w:tab w:leader="none" w:pos="2460" w:val="left"/>
          <w:tab w:leader="none" w:pos="2880" w:val="left"/>
          <w:tab w:leader="none" w:pos="38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122.3</w:t>
        <w:tab/>
        <w:t>$</w:t>
      </w:r>
      <w:r>
        <w:rPr>
          <w:sz w:val="20"/>
          <w:szCs w:val="20"/>
          <w:color w:val="auto"/>
        </w:rPr>
        <w:tab/>
      </w:r>
      <w:r>
        <w:rPr>
          <w:rFonts w:ascii="Times New Roman" w:cs="Times New Roman" w:eastAsia="Times New Roman" w:hAnsi="Times New Roman"/>
          <w:sz w:val="18"/>
          <w:szCs w:val="18"/>
          <w:color w:val="auto"/>
        </w:rPr>
        <w:t>0.9</w:t>
        <w:tab/>
        <w:t>$</w:t>
      </w:r>
      <w:r>
        <w:rPr>
          <w:sz w:val="20"/>
          <w:szCs w:val="20"/>
          <w:color w:val="auto"/>
        </w:rPr>
        <w:tab/>
      </w:r>
      <w:r>
        <w:rPr>
          <w:rFonts w:ascii="Times New Roman" w:cs="Times New Roman" w:eastAsia="Times New Roman" w:hAnsi="Times New Roman"/>
          <w:sz w:val="17"/>
          <w:szCs w:val="17"/>
          <w:color w:val="auto"/>
        </w:rPr>
        <w:t>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-4464685</wp:posOffset>
            </wp:positionH>
            <wp:positionV relativeFrom="paragraph">
              <wp:posOffset>17145</wp:posOffset>
            </wp:positionV>
            <wp:extent cx="71323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jc w:val="right"/>
        <w:ind w:right="80"/>
        <w:spacing w:after="0"/>
        <w:tabs>
          <w:tab w:leader="none" w:pos="1800" w:val="left"/>
          <w:tab w:leader="none" w:pos="380" w:val="left"/>
        </w:tabs>
        <w:rPr>
          <w:sz w:val="20"/>
          <w:szCs w:val="20"/>
          <w:color w:val="auto"/>
        </w:rPr>
      </w:pPr>
      <w:r>
        <w:rPr>
          <w:rFonts w:ascii="Times New Roman" w:cs="Times New Roman" w:eastAsia="Times New Roman" w:hAnsi="Times New Roman"/>
          <w:sz w:val="18"/>
          <w:szCs w:val="18"/>
          <w:color w:val="auto"/>
        </w:rPr>
        <w:t>122.6</w:t>
      </w:r>
      <w:r>
        <w:rPr>
          <w:sz w:val="20"/>
          <w:szCs w:val="20"/>
          <w:color w:val="auto"/>
        </w:rPr>
        <w:tab/>
      </w:r>
      <w:r>
        <w:rPr>
          <w:rFonts w:ascii="Times New Roman" w:cs="Times New Roman" w:eastAsia="Times New Roman" w:hAnsi="Times New Roman"/>
          <w:sz w:val="18"/>
          <w:szCs w:val="18"/>
          <w:color w:val="auto"/>
        </w:rPr>
        <w:t>187.6</w:t>
      </w:r>
      <w:r>
        <w:rPr>
          <w:sz w:val="20"/>
          <w:szCs w:val="20"/>
          <w:color w:val="auto"/>
        </w:rPr>
        <w:tab/>
      </w:r>
      <w:r>
        <w:rPr>
          <w:rFonts w:ascii="Times New Roman" w:cs="Times New Roman" w:eastAsia="Times New Roman" w:hAnsi="Times New Roman"/>
          <w:sz w:val="17"/>
          <w:szCs w:val="17"/>
          <w:color w:val="auto"/>
        </w:rPr>
        <w:t>200.1</w:t>
      </w:r>
    </w:p>
    <w:p>
      <w:pPr>
        <w:spacing w:after="0" w:line="63" w:lineRule="exact"/>
        <w:rPr>
          <w:sz w:val="20"/>
          <w:szCs w:val="20"/>
          <w:color w:val="auto"/>
        </w:rPr>
      </w:pPr>
    </w:p>
    <w:p>
      <w:pPr>
        <w:jc w:val="right"/>
        <w:ind w:right="80"/>
        <w:spacing w:after="0"/>
        <w:tabs>
          <w:tab w:leader="none" w:pos="1800" w:val="left"/>
          <w:tab w:leader="none" w:pos="380" w:val="left"/>
        </w:tabs>
        <w:rPr>
          <w:sz w:val="20"/>
          <w:szCs w:val="20"/>
          <w:color w:val="auto"/>
        </w:rPr>
      </w:pPr>
      <w:r>
        <w:rPr>
          <w:rFonts w:ascii="Times New Roman" w:cs="Times New Roman" w:eastAsia="Times New Roman" w:hAnsi="Times New Roman"/>
          <w:sz w:val="18"/>
          <w:szCs w:val="18"/>
          <w:color w:val="auto"/>
        </w:rPr>
        <w:t>559.5</w:t>
      </w:r>
      <w:r>
        <w:rPr>
          <w:sz w:val="20"/>
          <w:szCs w:val="20"/>
          <w:color w:val="auto"/>
        </w:rPr>
        <w:tab/>
      </w:r>
      <w:r>
        <w:rPr>
          <w:rFonts w:ascii="Times New Roman" w:cs="Times New Roman" w:eastAsia="Times New Roman" w:hAnsi="Times New Roman"/>
          <w:sz w:val="18"/>
          <w:szCs w:val="18"/>
          <w:color w:val="auto"/>
        </w:rPr>
        <w:t>598.2</w:t>
      </w:r>
      <w:r>
        <w:rPr>
          <w:sz w:val="20"/>
          <w:szCs w:val="20"/>
          <w:color w:val="auto"/>
        </w:rPr>
        <w:tab/>
      </w:r>
      <w:r>
        <w:rPr>
          <w:rFonts w:ascii="Times New Roman" w:cs="Times New Roman" w:eastAsia="Times New Roman" w:hAnsi="Times New Roman"/>
          <w:sz w:val="17"/>
          <w:szCs w:val="17"/>
          <w:color w:val="auto"/>
        </w:rPr>
        <w:t>580.2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-4464685</wp:posOffset>
            </wp:positionH>
            <wp:positionV relativeFrom="paragraph">
              <wp:posOffset>17145</wp:posOffset>
            </wp:positionV>
            <wp:extent cx="71323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720"/>
        <w:spacing w:after="0"/>
        <w:tabs>
          <w:tab w:leader="none" w:pos="2140" w:val="left"/>
          <w:tab w:leader="none" w:pos="3560" w:val="left"/>
        </w:tabs>
        <w:rPr>
          <w:sz w:val="20"/>
          <w:szCs w:val="20"/>
          <w:color w:val="auto"/>
        </w:rPr>
      </w:pPr>
      <w:r>
        <w:rPr>
          <w:rFonts w:ascii="Times New Roman" w:cs="Times New Roman" w:eastAsia="Times New Roman" w:hAnsi="Times New Roman"/>
          <w:sz w:val="18"/>
          <w:szCs w:val="18"/>
          <w:color w:val="auto"/>
        </w:rPr>
        <w:t>1,537.5</w:t>
      </w:r>
      <w:r>
        <w:rPr>
          <w:sz w:val="20"/>
          <w:szCs w:val="20"/>
          <w:color w:val="auto"/>
        </w:rPr>
        <w:tab/>
      </w:r>
      <w:r>
        <w:rPr>
          <w:rFonts w:ascii="Times New Roman" w:cs="Times New Roman" w:eastAsia="Times New Roman" w:hAnsi="Times New Roman"/>
          <w:sz w:val="18"/>
          <w:szCs w:val="18"/>
          <w:color w:val="auto"/>
        </w:rPr>
        <w:t>1,663.7</w:t>
      </w:r>
      <w:r>
        <w:rPr>
          <w:sz w:val="20"/>
          <w:szCs w:val="20"/>
          <w:color w:val="auto"/>
        </w:rPr>
        <w:tab/>
      </w:r>
      <w:r>
        <w:rPr>
          <w:rFonts w:ascii="Times New Roman" w:cs="Times New Roman" w:eastAsia="Times New Roman" w:hAnsi="Times New Roman"/>
          <w:sz w:val="18"/>
          <w:szCs w:val="18"/>
          <w:color w:val="auto"/>
        </w:rPr>
        <w:t>1,674.8</w:t>
      </w:r>
    </w:p>
    <w:p>
      <w:pPr>
        <w:spacing w:after="0" w:line="63" w:lineRule="exact"/>
        <w:rPr>
          <w:sz w:val="20"/>
          <w:szCs w:val="20"/>
          <w:color w:val="auto"/>
        </w:rPr>
      </w:pPr>
    </w:p>
    <w:p>
      <w:pPr>
        <w:ind w:left="940"/>
        <w:spacing w:after="0"/>
        <w:tabs>
          <w:tab w:leader="none" w:pos="2500" w:val="left"/>
          <w:tab w:leader="none" w:pos="3920" w:val="left"/>
        </w:tabs>
        <w:rPr>
          <w:sz w:val="20"/>
          <w:szCs w:val="20"/>
          <w:color w:val="auto"/>
        </w:rPr>
      </w:pPr>
      <w:r>
        <w:rPr>
          <w:rFonts w:ascii="Times New Roman" w:cs="Times New Roman" w:eastAsia="Times New Roman" w:hAnsi="Times New Roman"/>
          <w:sz w:val="18"/>
          <w:szCs w:val="18"/>
          <w:color w:val="auto"/>
        </w:rPr>
        <w:t>15.0</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-4464685</wp:posOffset>
            </wp:positionH>
            <wp:positionV relativeFrom="paragraph">
              <wp:posOffset>17145</wp:posOffset>
            </wp:positionV>
            <wp:extent cx="71323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720"/>
        <w:spacing w:after="0"/>
        <w:tabs>
          <w:tab w:leader="none" w:pos="2140" w:val="left"/>
          <w:tab w:leader="none" w:pos="3560" w:val="left"/>
        </w:tabs>
        <w:rPr>
          <w:sz w:val="20"/>
          <w:szCs w:val="20"/>
          <w:color w:val="auto"/>
        </w:rPr>
      </w:pPr>
      <w:r>
        <w:rPr>
          <w:rFonts w:ascii="Times New Roman" w:cs="Times New Roman" w:eastAsia="Times New Roman" w:hAnsi="Times New Roman"/>
          <w:sz w:val="18"/>
          <w:szCs w:val="18"/>
          <w:color w:val="auto"/>
        </w:rPr>
        <w:t>2,356.9</w:t>
      </w:r>
      <w:r>
        <w:rPr>
          <w:sz w:val="20"/>
          <w:szCs w:val="20"/>
          <w:color w:val="auto"/>
        </w:rPr>
        <w:tab/>
      </w:r>
      <w:r>
        <w:rPr>
          <w:rFonts w:ascii="Times New Roman" w:cs="Times New Roman" w:eastAsia="Times New Roman" w:hAnsi="Times New Roman"/>
          <w:sz w:val="18"/>
          <w:szCs w:val="18"/>
          <w:color w:val="auto"/>
        </w:rPr>
        <w:t>2,450.4</w:t>
      </w:r>
      <w:r>
        <w:rPr>
          <w:sz w:val="20"/>
          <w:szCs w:val="20"/>
          <w:color w:val="auto"/>
        </w:rPr>
        <w:tab/>
      </w:r>
      <w:r>
        <w:rPr>
          <w:rFonts w:ascii="Times New Roman" w:cs="Times New Roman" w:eastAsia="Times New Roman" w:hAnsi="Times New Roman"/>
          <w:sz w:val="18"/>
          <w:szCs w:val="18"/>
          <w:color w:val="auto"/>
        </w:rPr>
        <w:t>2,455.9</w:t>
      </w:r>
    </w:p>
    <w:p>
      <w:pPr>
        <w:spacing w:after="0" w:line="63" w:lineRule="exact"/>
        <w:rPr>
          <w:sz w:val="20"/>
          <w:szCs w:val="20"/>
          <w:color w:val="auto"/>
        </w:rPr>
      </w:pPr>
    </w:p>
    <w:p>
      <w:pPr>
        <w:ind w:left="720"/>
        <w:spacing w:after="0"/>
        <w:tabs>
          <w:tab w:leader="none" w:pos="2140" w:val="left"/>
          <w:tab w:leader="none" w:pos="3560" w:val="left"/>
        </w:tabs>
        <w:rPr>
          <w:sz w:val="20"/>
          <w:szCs w:val="20"/>
          <w:color w:val="auto"/>
        </w:rPr>
      </w:pPr>
      <w:r>
        <w:rPr>
          <w:rFonts w:ascii="Times New Roman" w:cs="Times New Roman" w:eastAsia="Times New Roman" w:hAnsi="Times New Roman"/>
          <w:sz w:val="18"/>
          <w:szCs w:val="18"/>
          <w:color w:val="auto"/>
        </w:rPr>
        <w:t>3,725.1</w:t>
      </w:r>
      <w:r>
        <w:rPr>
          <w:sz w:val="20"/>
          <w:szCs w:val="20"/>
          <w:color w:val="auto"/>
        </w:rPr>
        <w:tab/>
      </w:r>
      <w:r>
        <w:rPr>
          <w:rFonts w:ascii="Times New Roman" w:cs="Times New Roman" w:eastAsia="Times New Roman" w:hAnsi="Times New Roman"/>
          <w:sz w:val="18"/>
          <w:szCs w:val="18"/>
          <w:color w:val="auto"/>
        </w:rPr>
        <w:t>3,977.4</w:t>
      </w:r>
      <w:r>
        <w:rPr>
          <w:sz w:val="20"/>
          <w:szCs w:val="20"/>
          <w:color w:val="auto"/>
        </w:rPr>
        <w:tab/>
      </w:r>
      <w:r>
        <w:rPr>
          <w:rFonts w:ascii="Times New Roman" w:cs="Times New Roman" w:eastAsia="Times New Roman" w:hAnsi="Times New Roman"/>
          <w:sz w:val="18"/>
          <w:szCs w:val="18"/>
          <w:color w:val="auto"/>
        </w:rPr>
        <w:t>3,824.2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-4464685</wp:posOffset>
            </wp:positionH>
            <wp:positionV relativeFrom="paragraph">
              <wp:posOffset>17145</wp:posOffset>
            </wp:positionV>
            <wp:extent cx="71323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jc w:val="right"/>
        <w:ind w:right="80"/>
        <w:spacing w:after="0"/>
        <w:tabs>
          <w:tab w:leader="none" w:pos="1800" w:val="left"/>
          <w:tab w:leader="none" w:pos="380" w:val="left"/>
        </w:tabs>
        <w:rPr>
          <w:sz w:val="20"/>
          <w:szCs w:val="20"/>
          <w:color w:val="auto"/>
        </w:rPr>
      </w:pPr>
      <w:r>
        <w:rPr>
          <w:rFonts w:ascii="Times New Roman" w:cs="Times New Roman" w:eastAsia="Times New Roman" w:hAnsi="Times New Roman"/>
          <w:sz w:val="18"/>
          <w:szCs w:val="18"/>
          <w:color w:val="auto"/>
        </w:rPr>
        <w:t>545.1</w:t>
      </w:r>
      <w:r>
        <w:rPr>
          <w:sz w:val="20"/>
          <w:szCs w:val="20"/>
          <w:color w:val="auto"/>
        </w:rPr>
        <w:tab/>
      </w:r>
      <w:r>
        <w:rPr>
          <w:rFonts w:ascii="Times New Roman" w:cs="Times New Roman" w:eastAsia="Times New Roman" w:hAnsi="Times New Roman"/>
          <w:sz w:val="18"/>
          <w:szCs w:val="18"/>
          <w:color w:val="auto"/>
        </w:rPr>
        <w:t>722.5</w:t>
      </w:r>
      <w:r>
        <w:rPr>
          <w:sz w:val="20"/>
          <w:szCs w:val="20"/>
          <w:color w:val="auto"/>
        </w:rPr>
        <w:tab/>
      </w:r>
      <w:r>
        <w:rPr>
          <w:rFonts w:ascii="Times New Roman" w:cs="Times New Roman" w:eastAsia="Times New Roman" w:hAnsi="Times New Roman"/>
          <w:sz w:val="17"/>
          <w:szCs w:val="17"/>
          <w:color w:val="auto"/>
        </w:rPr>
        <w:t>670.7</w:t>
      </w:r>
    </w:p>
    <w:p>
      <w:pPr>
        <w:spacing w:after="0" w:line="27" w:lineRule="exact"/>
        <w:rPr>
          <w:sz w:val="20"/>
          <w:szCs w:val="20"/>
          <w:color w:val="auto"/>
        </w:rPr>
      </w:pPr>
    </w:p>
    <w:p>
      <w:pPr>
        <w:sectPr>
          <w:pgSz w:w="11900" w:h="16838" w:orient="portrait"/>
          <w:cols w:equalWidth="0" w:num="2">
            <w:col w:w="6320" w:space="720"/>
            <w:col w:w="4200"/>
          </w:cols>
          <w:pgMar w:left="320" w:top="1062" w:right="339" w:bottom="1440" w:gutter="0" w:footer="0" w:header="0"/>
          <w:type w:val="continuous"/>
        </w:sectPr>
      </w:pPr>
    </w:p>
    <w:tbl>
      <w:tblPr>
        <w:tblLayout w:type="fixed"/>
        <w:tblInd w:w="0" w:type="dxa"/>
        <w:tblCellMar>
          <w:top w:w="0" w:type="dxa"/>
          <w:left w:w="0" w:type="dxa"/>
          <w:bottom w:w="0" w:type="dxa"/>
          <w:right w:w="0" w:type="dxa"/>
        </w:tblCellMar>
      </w:tblPr>
      <w:tr>
        <w:trPr>
          <w:trHeight w:val="250"/>
        </w:trPr>
        <w:tc>
          <w:tcPr>
            <w:tcW w:w="702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8"/>
                <w:szCs w:val="18"/>
                <w:color w:val="auto"/>
              </w:rPr>
              <w:t>Total liabilities</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6,627.1</w:t>
            </w:r>
          </w:p>
        </w:tc>
        <w:tc>
          <w:tcPr>
            <w:tcW w:w="12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7,150.3</w:t>
            </w:r>
          </w:p>
        </w:tc>
        <w:tc>
          <w:tcPr>
            <w:tcW w:w="12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6,950.8</w:t>
            </w:r>
          </w:p>
        </w:tc>
      </w:tr>
      <w:tr>
        <w:trPr>
          <w:trHeight w:val="25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Redeemable noncontrolling interests</w:t>
            </w:r>
          </w:p>
        </w:tc>
        <w:tc>
          <w:tcPr>
            <w:tcW w:w="4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r>
    </w:tbl>
    <w:p>
      <w:pPr>
        <w:spacing w:after="0" w:line="9" w:lineRule="exact"/>
        <w:rPr>
          <w:sz w:val="20"/>
          <w:szCs w:val="20"/>
          <w:color w:val="auto"/>
        </w:rPr>
      </w:pPr>
    </w:p>
    <w:p>
      <w:pPr>
        <w:sectPr>
          <w:pgSz w:w="11900" w:h="16838" w:orient="portrait"/>
          <w:cols w:equalWidth="0" w:num="1">
            <w:col w:w="11240"/>
          </w:cols>
          <w:pgMar w:left="320" w:top="1062"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Preference stock of $2.50 par value. Authorized 5,000,000 shares; none issued</w:t>
      </w:r>
    </w:p>
    <w:p>
      <w:pPr>
        <w:spacing w:after="0" w:line="63" w:lineRule="exact"/>
        <w:rPr>
          <w:sz w:val="20"/>
          <w:szCs w:val="20"/>
          <w:color w:val="auto"/>
        </w:rPr>
      </w:pPr>
    </w:p>
    <w:p>
      <w:pPr>
        <w:ind w:left="720" w:right="300" w:hanging="323"/>
        <w:spacing w:after="0" w:line="298" w:lineRule="auto"/>
        <w:rPr>
          <w:sz w:val="20"/>
          <w:szCs w:val="20"/>
          <w:color w:val="auto"/>
        </w:rPr>
      </w:pPr>
      <w:r>
        <w:rPr>
          <w:rFonts w:ascii="Times New Roman" w:cs="Times New Roman" w:eastAsia="Times New Roman" w:hAnsi="Times New Roman"/>
          <w:sz w:val="17"/>
          <w:szCs w:val="17"/>
          <w:color w:val="auto"/>
        </w:rPr>
        <w:t>Common stock of $0.50 par value. Authorized 600,000,000 shares; issued 220,286,736 shares at September 25, 2022, September 26, 2021, and December 26,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400"/>
        <w:spacing w:after="0"/>
        <w:rPr>
          <w:sz w:val="20"/>
          <w:szCs w:val="20"/>
          <w:color w:val="auto"/>
        </w:rPr>
      </w:pPr>
      <w:r>
        <w:rPr>
          <w:rFonts w:ascii="Times New Roman" w:cs="Times New Roman" w:eastAsia="Times New Roman" w:hAnsi="Times New Roman"/>
          <w:sz w:val="18"/>
          <w:szCs w:val="18"/>
          <w:color w:val="auto"/>
        </w:rPr>
        <w:t>Additional paid-in capital</w:t>
      </w:r>
    </w:p>
    <w:p>
      <w:pPr>
        <w:spacing w:after="0" w:line="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Retained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Accumulated other comprehensive loss</w:t>
      </w:r>
    </w:p>
    <w:p>
      <w:pPr>
        <w:spacing w:after="0" w:line="63" w:lineRule="exact"/>
        <w:rPr>
          <w:sz w:val="20"/>
          <w:szCs w:val="20"/>
          <w:color w:val="auto"/>
        </w:rPr>
      </w:pPr>
    </w:p>
    <w:p>
      <w:pPr>
        <w:ind w:left="720" w:right="320" w:hanging="323"/>
        <w:spacing w:after="0" w:line="281" w:lineRule="auto"/>
        <w:rPr>
          <w:sz w:val="20"/>
          <w:szCs w:val="20"/>
          <w:color w:val="auto"/>
        </w:rPr>
      </w:pPr>
      <w:r>
        <w:rPr>
          <w:rFonts w:ascii="Times New Roman" w:cs="Times New Roman" w:eastAsia="Times New Roman" w:hAnsi="Times New Roman"/>
          <w:sz w:val="18"/>
          <w:szCs w:val="18"/>
          <w:color w:val="auto"/>
        </w:rPr>
        <w:t>Treasury stock, at cost; 82,178,615 shares at September 25, 2022; 82,359,425 shares at September 26, 2021; and 82,066,136 shares at December 26,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400"/>
        <w:spacing w:after="0"/>
        <w:rPr>
          <w:sz w:val="20"/>
          <w:szCs w:val="20"/>
          <w:color w:val="auto"/>
        </w:rPr>
      </w:pPr>
      <w:r>
        <w:rPr>
          <w:rFonts w:ascii="Times New Roman" w:cs="Times New Roman" w:eastAsia="Times New Roman" w:hAnsi="Times New Roman"/>
          <w:sz w:val="18"/>
          <w:szCs w:val="18"/>
          <w:color w:val="auto"/>
        </w:rPr>
        <w:t>Noncontrolling interests</w:t>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ind w:left="440"/>
        <w:spacing w:after="0"/>
        <w:tabs>
          <w:tab w:leader="none" w:pos="1860" w:val="left"/>
          <w:tab w:leader="none" w:pos="32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79" w:lineRule="exact"/>
        <w:rPr>
          <w:sz w:val="20"/>
          <w:szCs w:val="20"/>
          <w:color w:val="auto"/>
        </w:rPr>
      </w:pPr>
    </w:p>
    <w:p>
      <w:pPr>
        <w:ind w:left="220"/>
        <w:spacing w:after="0"/>
        <w:tabs>
          <w:tab w:leader="none" w:pos="1640" w:val="left"/>
          <w:tab w:leader="none" w:pos="3080" w:val="left"/>
        </w:tabs>
        <w:rPr>
          <w:sz w:val="20"/>
          <w:szCs w:val="20"/>
          <w:color w:val="auto"/>
        </w:rPr>
      </w:pPr>
      <w:r>
        <w:rPr>
          <w:rFonts w:ascii="Times New Roman" w:cs="Times New Roman" w:eastAsia="Times New Roman" w:hAnsi="Times New Roman"/>
          <w:sz w:val="18"/>
          <w:szCs w:val="18"/>
          <w:color w:val="auto"/>
        </w:rPr>
        <w:t>110.1</w:t>
      </w:r>
      <w:r>
        <w:rPr>
          <w:sz w:val="20"/>
          <w:szCs w:val="20"/>
          <w:color w:val="auto"/>
        </w:rPr>
        <w:tab/>
      </w:r>
      <w:r>
        <w:rPr>
          <w:rFonts w:ascii="Times New Roman" w:cs="Times New Roman" w:eastAsia="Times New Roman" w:hAnsi="Times New Roman"/>
          <w:sz w:val="18"/>
          <w:szCs w:val="18"/>
          <w:color w:val="auto"/>
        </w:rPr>
        <w:t>110.1</w:t>
      </w:r>
      <w:r>
        <w:rPr>
          <w:sz w:val="20"/>
          <w:szCs w:val="20"/>
          <w:color w:val="auto"/>
        </w:rPr>
        <w:tab/>
      </w:r>
      <w:r>
        <w:rPr>
          <w:rFonts w:ascii="Times New Roman" w:cs="Times New Roman" w:eastAsia="Times New Roman" w:hAnsi="Times New Roman"/>
          <w:sz w:val="16"/>
          <w:szCs w:val="16"/>
          <w:color w:val="auto"/>
        </w:rPr>
        <w:t>110.1</w:t>
      </w:r>
    </w:p>
    <w:p>
      <w:pPr>
        <w:spacing w:after="0" w:line="63" w:lineRule="exact"/>
        <w:rPr>
          <w:sz w:val="20"/>
          <w:szCs w:val="20"/>
          <w:color w:val="auto"/>
        </w:rPr>
      </w:pPr>
    </w:p>
    <w:p>
      <w:pPr>
        <w:ind w:left="80"/>
        <w:spacing w:after="0"/>
        <w:tabs>
          <w:tab w:leader="none" w:pos="1500" w:val="left"/>
          <w:tab w:leader="none" w:pos="2920" w:val="left"/>
        </w:tabs>
        <w:rPr>
          <w:sz w:val="20"/>
          <w:szCs w:val="20"/>
          <w:color w:val="auto"/>
        </w:rPr>
      </w:pPr>
      <w:r>
        <w:rPr>
          <w:rFonts w:ascii="Times New Roman" w:cs="Times New Roman" w:eastAsia="Times New Roman" w:hAnsi="Times New Roman"/>
          <w:sz w:val="18"/>
          <w:szCs w:val="18"/>
          <w:color w:val="auto"/>
        </w:rPr>
        <w:t>2,530.1</w:t>
      </w:r>
      <w:r>
        <w:rPr>
          <w:sz w:val="20"/>
          <w:szCs w:val="20"/>
          <w:color w:val="auto"/>
        </w:rPr>
        <w:tab/>
      </w:r>
      <w:r>
        <w:rPr>
          <w:rFonts w:ascii="Times New Roman" w:cs="Times New Roman" w:eastAsia="Times New Roman" w:hAnsi="Times New Roman"/>
          <w:sz w:val="18"/>
          <w:szCs w:val="18"/>
          <w:color w:val="auto"/>
        </w:rPr>
        <w:t>2,388.9</w:t>
      </w:r>
      <w:r>
        <w:rPr>
          <w:sz w:val="20"/>
          <w:szCs w:val="20"/>
          <w:color w:val="auto"/>
        </w:rPr>
        <w:tab/>
      </w:r>
      <w:r>
        <w:rPr>
          <w:rFonts w:ascii="Times New Roman" w:cs="Times New Roman" w:eastAsia="Times New Roman" w:hAnsi="Times New Roman"/>
          <w:sz w:val="18"/>
          <w:szCs w:val="18"/>
          <w:color w:val="auto"/>
        </w:rPr>
        <w:t>2,428.0</w:t>
      </w:r>
    </w:p>
    <w:p>
      <w:pPr>
        <w:spacing w:after="0" w:line="63" w:lineRule="exact"/>
        <w:rPr>
          <w:sz w:val="20"/>
          <w:szCs w:val="20"/>
          <w:color w:val="auto"/>
        </w:rPr>
      </w:pPr>
    </w:p>
    <w:p>
      <w:pPr>
        <w:ind w:left="80"/>
        <w:spacing w:after="0"/>
        <w:tabs>
          <w:tab w:leader="none" w:pos="1500" w:val="left"/>
          <w:tab w:leader="none" w:pos="2920" w:val="left"/>
        </w:tabs>
        <w:rPr>
          <w:sz w:val="20"/>
          <w:szCs w:val="20"/>
          <w:color w:val="auto"/>
        </w:rPr>
      </w:pPr>
      <w:r>
        <w:rPr>
          <w:rFonts w:ascii="Times New Roman" w:cs="Times New Roman" w:eastAsia="Times New Roman" w:hAnsi="Times New Roman"/>
          <w:sz w:val="18"/>
          <w:szCs w:val="18"/>
          <w:color w:val="auto"/>
        </w:rPr>
        <w:t>4,297.8</w:t>
      </w:r>
      <w:r>
        <w:rPr>
          <w:sz w:val="20"/>
          <w:szCs w:val="20"/>
          <w:color w:val="auto"/>
        </w:rPr>
        <w:tab/>
      </w:r>
      <w:r>
        <w:rPr>
          <w:rFonts w:ascii="Times New Roman" w:cs="Times New Roman" w:eastAsia="Times New Roman" w:hAnsi="Times New Roman"/>
          <w:sz w:val="18"/>
          <w:szCs w:val="18"/>
          <w:color w:val="auto"/>
        </w:rPr>
        <w:t>4,269.6</w:t>
      </w:r>
      <w:r>
        <w:rPr>
          <w:sz w:val="20"/>
          <w:szCs w:val="20"/>
          <w:color w:val="auto"/>
        </w:rPr>
        <w:tab/>
      </w:r>
      <w:r>
        <w:rPr>
          <w:rFonts w:ascii="Times New Roman" w:cs="Times New Roman" w:eastAsia="Times New Roman" w:hAnsi="Times New Roman"/>
          <w:sz w:val="18"/>
          <w:szCs w:val="18"/>
          <w:color w:val="auto"/>
        </w:rPr>
        <w:t>4,257.8</w:t>
      </w:r>
    </w:p>
    <w:p>
      <w:pPr>
        <w:spacing w:after="0" w:line="63" w:lineRule="exact"/>
        <w:rPr>
          <w:sz w:val="20"/>
          <w:szCs w:val="20"/>
          <w:color w:val="auto"/>
        </w:rPr>
      </w:pPr>
    </w:p>
    <w:p>
      <w:pPr>
        <w:ind w:left="140"/>
        <w:spacing w:after="0"/>
        <w:tabs>
          <w:tab w:leader="none" w:pos="1560" w:val="left"/>
          <w:tab w:leader="none" w:pos="2980" w:val="left"/>
        </w:tabs>
        <w:rPr>
          <w:sz w:val="20"/>
          <w:szCs w:val="20"/>
          <w:color w:val="auto"/>
        </w:rPr>
      </w:pPr>
      <w:r>
        <w:rPr>
          <w:rFonts w:ascii="Times New Roman" w:cs="Times New Roman" w:eastAsia="Times New Roman" w:hAnsi="Times New Roman"/>
          <w:sz w:val="18"/>
          <w:szCs w:val="18"/>
          <w:color w:val="auto"/>
        </w:rPr>
        <w:t>(324.9)</w:t>
      </w:r>
      <w:r>
        <w:rPr>
          <w:sz w:val="20"/>
          <w:szCs w:val="20"/>
          <w:color w:val="auto"/>
        </w:rPr>
        <w:tab/>
      </w:r>
      <w:r>
        <w:rPr>
          <w:rFonts w:ascii="Times New Roman" w:cs="Times New Roman" w:eastAsia="Times New Roman" w:hAnsi="Times New Roman"/>
          <w:sz w:val="18"/>
          <w:szCs w:val="18"/>
          <w:color w:val="auto"/>
        </w:rPr>
        <w:t>(208.6)</w:t>
      </w:r>
      <w:r>
        <w:rPr>
          <w:sz w:val="20"/>
          <w:szCs w:val="20"/>
          <w:color w:val="auto"/>
        </w:rPr>
        <w:tab/>
      </w:r>
      <w:r>
        <w:rPr>
          <w:rFonts w:ascii="Times New Roman" w:cs="Times New Roman" w:eastAsia="Times New Roman" w:hAnsi="Times New Roman"/>
          <w:sz w:val="18"/>
          <w:szCs w:val="18"/>
          <w:color w:val="auto"/>
        </w:rPr>
        <w:t>(235.3)</w:t>
      </w:r>
    </w:p>
    <w:p>
      <w:pPr>
        <w:spacing w:after="0" w:line="279" w:lineRule="exact"/>
        <w:rPr>
          <w:sz w:val="20"/>
          <w:szCs w:val="20"/>
          <w:color w:val="auto"/>
        </w:rPr>
      </w:pPr>
    </w:p>
    <w:p>
      <w:pPr>
        <w:spacing w:after="0"/>
        <w:tabs>
          <w:tab w:leader="none" w:pos="1420" w:val="left"/>
          <w:tab w:leader="none" w:pos="2860" w:val="left"/>
        </w:tabs>
        <w:rPr>
          <w:sz w:val="20"/>
          <w:szCs w:val="20"/>
          <w:color w:val="auto"/>
        </w:rPr>
      </w:pPr>
      <w:r>
        <w:rPr>
          <w:rFonts w:ascii="Times New Roman" w:cs="Times New Roman" w:eastAsia="Times New Roman" w:hAnsi="Times New Roman"/>
          <w:sz w:val="18"/>
          <w:szCs w:val="18"/>
          <w:color w:val="auto"/>
        </w:rPr>
        <w:t>(3,637.1)</w:t>
      </w:r>
      <w:r>
        <w:rPr>
          <w:sz w:val="20"/>
          <w:szCs w:val="20"/>
          <w:color w:val="auto"/>
        </w:rPr>
        <w:tab/>
      </w:r>
      <w:r>
        <w:rPr>
          <w:rFonts w:ascii="Times New Roman" w:cs="Times New Roman" w:eastAsia="Times New Roman" w:hAnsi="Times New Roman"/>
          <w:sz w:val="18"/>
          <w:szCs w:val="18"/>
          <w:color w:val="auto"/>
        </w:rPr>
        <w:t>(3,541.0)</w:t>
      </w:r>
      <w:r>
        <w:rPr>
          <w:sz w:val="20"/>
          <w:szCs w:val="20"/>
          <w:color w:val="auto"/>
        </w:rPr>
        <w:tab/>
      </w:r>
      <w:r>
        <w:rPr>
          <w:rFonts w:ascii="Times New Roman" w:cs="Times New Roman" w:eastAsia="Times New Roman" w:hAnsi="Times New Roman"/>
          <w:sz w:val="18"/>
          <w:szCs w:val="18"/>
          <w:color w:val="auto"/>
        </w:rPr>
        <w:t>(3,534.7)</w:t>
      </w:r>
    </w:p>
    <w:p>
      <w:pPr>
        <w:spacing w:after="0" w:line="63" w:lineRule="exact"/>
        <w:rPr>
          <w:sz w:val="20"/>
          <w:szCs w:val="20"/>
          <w:color w:val="auto"/>
        </w:rPr>
      </w:pPr>
    </w:p>
    <w:p>
      <w:pPr>
        <w:ind w:left="300"/>
        <w:spacing w:after="0"/>
        <w:tabs>
          <w:tab w:leader="none" w:pos="1720" w:val="left"/>
          <w:tab w:leader="none" w:pos="3160" w:val="left"/>
        </w:tabs>
        <w:rPr>
          <w:sz w:val="20"/>
          <w:szCs w:val="20"/>
          <w:color w:val="auto"/>
        </w:rPr>
      </w:pPr>
      <w:r>
        <w:rPr>
          <w:rFonts w:ascii="Times New Roman" w:cs="Times New Roman" w:eastAsia="Times New Roman" w:hAnsi="Times New Roman"/>
          <w:sz w:val="18"/>
          <w:szCs w:val="18"/>
          <w:color w:val="auto"/>
        </w:rPr>
        <w:t>23.0</w:t>
      </w:r>
      <w:r>
        <w:rPr>
          <w:sz w:val="20"/>
          <w:szCs w:val="20"/>
          <w:color w:val="auto"/>
        </w:rPr>
        <w:tab/>
      </w:r>
      <w:r>
        <w:rPr>
          <w:rFonts w:ascii="Times New Roman" w:cs="Times New Roman" w:eastAsia="Times New Roman" w:hAnsi="Times New Roman"/>
          <w:sz w:val="18"/>
          <w:szCs w:val="18"/>
          <w:color w:val="auto"/>
        </w:rPr>
        <w:t>38.2</w:t>
      </w:r>
      <w:r>
        <w:rPr>
          <w:sz w:val="20"/>
          <w:szCs w:val="20"/>
          <w:color w:val="auto"/>
        </w:rPr>
        <w:tab/>
      </w:r>
      <w:r>
        <w:rPr>
          <w:rFonts w:ascii="Times New Roman" w:cs="Times New Roman" w:eastAsia="Times New Roman" w:hAnsi="Times New Roman"/>
          <w:sz w:val="17"/>
          <w:szCs w:val="17"/>
          <w:color w:val="auto"/>
        </w:rPr>
        <w:t>37.2</w:t>
      </w:r>
    </w:p>
    <w:p>
      <w:pPr>
        <w:spacing w:after="0" w:line="27" w:lineRule="exact"/>
        <w:rPr>
          <w:sz w:val="20"/>
          <w:szCs w:val="20"/>
          <w:color w:val="auto"/>
        </w:rPr>
      </w:pPr>
    </w:p>
    <w:p>
      <w:pPr>
        <w:sectPr>
          <w:pgSz w:w="11900" w:h="16838" w:orient="portrait"/>
          <w:cols w:equalWidth="0" w:num="2">
            <w:col w:w="6960" w:space="720"/>
            <w:col w:w="3560"/>
          </w:cols>
          <w:pgMar w:left="320" w:top="1062" w:right="339" w:bottom="1440" w:gutter="0" w:footer="0" w:header="0"/>
          <w:type w:val="continuous"/>
        </w:sectPr>
      </w:pPr>
    </w:p>
    <w:tbl>
      <w:tblPr>
        <w:tblLayout w:type="fixed"/>
        <w:tblInd w:w="0" w:type="dxa"/>
        <w:tblCellMar>
          <w:top w:w="0" w:type="dxa"/>
          <w:left w:w="0" w:type="dxa"/>
          <w:bottom w:w="0" w:type="dxa"/>
          <w:right w:w="0" w:type="dxa"/>
        </w:tblCellMar>
      </w:tblPr>
      <w:tr>
        <w:trPr>
          <w:trHeight w:val="250"/>
        </w:trPr>
        <w:tc>
          <w:tcPr>
            <w:tcW w:w="702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4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2,999.0</w:t>
            </w:r>
          </w:p>
        </w:tc>
        <w:tc>
          <w:tcPr>
            <w:tcW w:w="12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3,057.2</w:t>
            </w:r>
          </w:p>
        </w:tc>
        <w:tc>
          <w:tcPr>
            <w:tcW w:w="12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3,063.1</w:t>
            </w:r>
          </w:p>
        </w:tc>
      </w:tr>
      <w:tr>
        <w:trPr>
          <w:trHeight w:val="248"/>
        </w:trPr>
        <w:tc>
          <w:tcPr>
            <w:tcW w:w="702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Total liabilities, noncontrolling interests and shareholders' equity</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9,626.1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10,230.4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10,037.8</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ectPr>
          <w:pgSz w:w="11900" w:h="16838" w:orient="portrait"/>
          <w:cols w:equalWidth="0" w:num="1">
            <w:col w:w="11240"/>
          </w:cols>
          <w:pgMar w:left="320" w:top="1062"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See accompanying condensed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HASBRO,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(Millions of Dollars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20" w:type="dxa"/>
            <w:vAlign w:val="bottom"/>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180" w:type="dxa"/>
            <w:vAlign w:val="bottom"/>
          </w:tcPr>
          <w:p>
            <w:pPr>
              <w:spacing w:after="0"/>
              <w:rPr>
                <w:sz w:val="16"/>
                <w:szCs w:val="16"/>
                <w:color w:val="auto"/>
              </w:rPr>
            </w:pPr>
          </w:p>
        </w:tc>
        <w:tc>
          <w:tcPr>
            <w:tcW w:w="2580" w:type="dxa"/>
            <w:vAlign w:val="bottom"/>
            <w:gridSpan w:val="4"/>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5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28"/>
        </w:trPr>
        <w:tc>
          <w:tcPr>
            <w:tcW w:w="53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ind w:left="60"/>
              <w:spacing w:after="0" w:line="129" w:lineRule="exact"/>
              <w:rPr>
                <w:sz w:val="20"/>
                <w:szCs w:val="20"/>
                <w:color w:val="auto"/>
              </w:rPr>
            </w:pPr>
            <w:r>
              <w:rPr>
                <w:rFonts w:ascii="Times New Roman" w:cs="Times New Roman" w:eastAsia="Times New Roman" w:hAnsi="Times New Roman"/>
                <w:sz w:val="14"/>
                <w:szCs w:val="14"/>
                <w:b w:val="1"/>
                <w:bCs w:val="1"/>
                <w:color w:val="auto"/>
              </w:rPr>
              <w:t>September 25,</w:t>
            </w: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131"/>
              <w:spacing w:after="0" w:line="129" w:lineRule="exact"/>
              <w:rPr>
                <w:sz w:val="20"/>
                <w:szCs w:val="20"/>
                <w:color w:val="auto"/>
              </w:rPr>
            </w:pPr>
            <w:r>
              <w:rPr>
                <w:rFonts w:ascii="Times New Roman" w:cs="Times New Roman" w:eastAsia="Times New Roman" w:hAnsi="Times New Roman"/>
                <w:sz w:val="14"/>
                <w:szCs w:val="14"/>
                <w:b w:val="1"/>
                <w:bCs w:val="1"/>
                <w:color w:val="auto"/>
              </w:rPr>
              <w:t>September 26,</w:t>
            </w:r>
          </w:p>
        </w:tc>
        <w:tc>
          <w:tcPr>
            <w:tcW w:w="4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September 25,</w:t>
            </w: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131"/>
              <w:spacing w:after="0" w:line="129" w:lineRule="exact"/>
              <w:rPr>
                <w:sz w:val="20"/>
                <w:szCs w:val="20"/>
                <w:color w:val="auto"/>
              </w:rPr>
            </w:pPr>
            <w:r>
              <w:rPr>
                <w:rFonts w:ascii="Times New Roman" w:cs="Times New Roman" w:eastAsia="Times New Roman" w:hAnsi="Times New Roman"/>
                <w:sz w:val="14"/>
                <w:szCs w:val="14"/>
                <w:b w:val="1"/>
                <w:bCs w:val="1"/>
                <w:color w:val="auto"/>
              </w:rPr>
              <w:t>September 26,</w:t>
            </w:r>
          </w:p>
        </w:tc>
      </w:tr>
      <w:tr>
        <w:trPr>
          <w:trHeight w:val="196"/>
        </w:trPr>
        <w:tc>
          <w:tcPr>
            <w:tcW w:w="53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4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1,970.0</w:t>
            </w: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4,178.2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4,407.0</w:t>
            </w:r>
          </w:p>
        </w:tc>
      </w:tr>
      <w:tr>
        <w:trPr>
          <w:trHeight w:val="229"/>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53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Cost of sales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609.5</w:t>
            </w: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1,244.4</w:t>
            </w:r>
          </w:p>
        </w:tc>
      </w:tr>
      <w:tr>
        <w:trPr>
          <w:trHeight w:val="229"/>
        </w:trPr>
        <w:tc>
          <w:tcPr>
            <w:tcW w:w="53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Program cost amortization</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396.1</w:t>
            </w:r>
          </w:p>
        </w:tc>
      </w:tr>
      <w:tr>
        <w:trPr>
          <w:trHeight w:val="230"/>
        </w:trPr>
        <w:tc>
          <w:tcPr>
            <w:tcW w:w="53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Royalties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w:t>
            </w: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392.2</w:t>
            </w:r>
          </w:p>
        </w:tc>
      </w:tr>
      <w:tr>
        <w:trPr>
          <w:trHeight w:val="229"/>
        </w:trPr>
        <w:tc>
          <w:tcPr>
            <w:tcW w:w="53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Product development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229.1</w:t>
            </w:r>
          </w:p>
        </w:tc>
      </w:tr>
      <w:tr>
        <w:trPr>
          <w:trHeight w:val="229"/>
        </w:trPr>
        <w:tc>
          <w:tcPr>
            <w:tcW w:w="53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Advertising</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356.6</w:t>
            </w:r>
          </w:p>
        </w:tc>
      </w:tr>
      <w:tr>
        <w:trPr>
          <w:trHeight w:val="230"/>
        </w:trPr>
        <w:tc>
          <w:tcPr>
            <w:tcW w:w="53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w:t>
            </w:r>
          </w:p>
        </w:tc>
      </w:tr>
      <w:tr>
        <w:trPr>
          <w:trHeight w:val="229"/>
        </w:trPr>
        <w:tc>
          <w:tcPr>
            <w:tcW w:w="53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Selling, distribution and administration</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361.8</w:t>
            </w: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1,004.7</w:t>
            </w:r>
          </w:p>
        </w:tc>
      </w:tr>
      <w:tr>
        <w:trPr>
          <w:trHeight w:val="229"/>
        </w:trPr>
        <w:tc>
          <w:tcPr>
            <w:tcW w:w="53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Loss on assets held for sale</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3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Loss on disposal of business</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w:t>
            </w:r>
          </w:p>
        </w:tc>
      </w:tr>
      <w:tr>
        <w:trPr>
          <w:trHeight w:val="229"/>
        </w:trPr>
        <w:tc>
          <w:tcPr>
            <w:tcW w:w="5300" w:type="dxa"/>
            <w:vAlign w:val="bottom"/>
            <w:tcBorders>
              <w:bottom w:val="single" w:sz="8" w:color="CCEEFF"/>
            </w:tcBorders>
          </w:tcPr>
          <w:p>
            <w:pPr>
              <w:ind w:left="144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1,481.6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1,602.1</w:t>
            </w:r>
          </w:p>
        </w:tc>
        <w:tc>
          <w:tcPr>
            <w:tcW w:w="4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3,644.8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3,815.2</w:t>
            </w:r>
          </w:p>
        </w:tc>
      </w:tr>
      <w:tr>
        <w:trPr>
          <w:trHeight w:val="22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367.9</w:t>
            </w:r>
          </w:p>
        </w:tc>
        <w:tc>
          <w:tcPr>
            <w:tcW w:w="4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591.8</w:t>
            </w:r>
          </w:p>
        </w:tc>
      </w:tr>
      <w:tr>
        <w:trPr>
          <w:trHeight w:val="209"/>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Non-operating expense (income):</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9"/>
        </w:trPr>
        <w:tc>
          <w:tcPr>
            <w:tcW w:w="53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w:t>
            </w:r>
          </w:p>
        </w:tc>
      </w:tr>
      <w:tr>
        <w:trPr>
          <w:trHeight w:val="230"/>
        </w:trPr>
        <w:tc>
          <w:tcPr>
            <w:tcW w:w="53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9"/>
        </w:trPr>
        <w:tc>
          <w:tcPr>
            <w:tcW w:w="53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4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r>
      <w:tr>
        <w:trPr>
          <w:trHeight w:val="223"/>
        </w:trPr>
        <w:tc>
          <w:tcPr>
            <w:tcW w:w="5300" w:type="dxa"/>
            <w:vAlign w:val="bottom"/>
            <w:tcBorders>
              <w:bottom w:val="single" w:sz="8" w:color="CCEEFF"/>
            </w:tcBorders>
          </w:tcPr>
          <w:p>
            <w:pPr>
              <w:ind w:left="1440"/>
              <w:spacing w:after="0"/>
              <w:rPr>
                <w:sz w:val="20"/>
                <w:szCs w:val="20"/>
                <w:color w:val="auto"/>
              </w:rPr>
            </w:pPr>
            <w:r>
              <w:rPr>
                <w:rFonts w:ascii="Times New Roman" w:cs="Times New Roman" w:eastAsia="Times New Roman" w:hAnsi="Times New Roman"/>
                <w:sz w:val="18"/>
                <w:szCs w:val="18"/>
                <w:color w:val="auto"/>
              </w:rPr>
              <w:t>Total non-operating expense, net</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4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w:t>
            </w:r>
          </w:p>
        </w:tc>
      </w:tr>
      <w:tr>
        <w:trPr>
          <w:trHeight w:val="22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323.4</w:t>
            </w: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494.0</w:t>
            </w:r>
          </w:p>
        </w:tc>
      </w:tr>
      <w:tr>
        <w:trPr>
          <w:trHeight w:val="230"/>
        </w:trPr>
        <w:tc>
          <w:tcPr>
            <w:tcW w:w="5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4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143.5</w:t>
            </w:r>
          </w:p>
        </w:tc>
      </w:tr>
      <w:tr>
        <w:trPr>
          <w:trHeight w:val="22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254.9</w:t>
            </w: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350.5</w:t>
            </w:r>
          </w:p>
        </w:tc>
      </w:tr>
      <w:tr>
        <w:trPr>
          <w:trHeight w:val="229"/>
        </w:trPr>
        <w:tc>
          <w:tcPr>
            <w:tcW w:w="5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earnings (loss) attributable to noncontrolling interests</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48"/>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attributable to Hasbro, Inc.</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5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tcPr>
          <w:p>
            <w:pPr>
              <w:spacing w:after="0"/>
              <w:rPr>
                <w:sz w:val="9"/>
                <w:szCs w:val="9"/>
                <w:color w:val="auto"/>
              </w:rPr>
            </w:pPr>
          </w:p>
        </w:tc>
      </w:tr>
      <w:tr>
        <w:trPr>
          <w:trHeight w:val="230"/>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per common share:</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53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4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w:t>
            </w:r>
          </w:p>
        </w:tc>
      </w:tr>
      <w:tr>
        <w:trPr>
          <w:trHeight w:val="20"/>
        </w:trPr>
        <w:tc>
          <w:tcPr>
            <w:tcW w:w="53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48"/>
        </w:trPr>
        <w:tc>
          <w:tcPr>
            <w:tcW w:w="530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3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Cash dividends declared per common share</w:t>
            </w: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0.70</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0.68</w:t>
            </w:r>
          </w:p>
        </w:tc>
        <w:tc>
          <w:tcPr>
            <w:tcW w:w="44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2.10</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2.04</w:t>
            </w:r>
          </w:p>
        </w:tc>
      </w:tr>
      <w:tr>
        <w:trPr>
          <w:trHeight w:val="21"/>
        </w:trPr>
        <w:tc>
          <w:tcPr>
            <w:tcW w:w="5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condensed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561975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HASBRO,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Earnings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(Millions of Dollars)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6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140" w:type="dxa"/>
            <w:vAlign w:val="bottom"/>
          </w:tcPr>
          <w:p>
            <w:pPr>
              <w:spacing w:after="0"/>
              <w:rPr>
                <w:sz w:val="16"/>
                <w:szCs w:val="16"/>
                <w:color w:val="auto"/>
              </w:rPr>
            </w:pPr>
          </w:p>
        </w:tc>
        <w:tc>
          <w:tcPr>
            <w:tcW w:w="2380" w:type="dxa"/>
            <w:vAlign w:val="bottom"/>
            <w:gridSpan w:val="4"/>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6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28"/>
        </w:trPr>
        <w:tc>
          <w:tcPr>
            <w:tcW w:w="6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September 25,</w:t>
            </w:r>
          </w:p>
        </w:tc>
        <w:tc>
          <w:tcPr>
            <w:tcW w:w="1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ind w:right="73"/>
              <w:spacing w:after="0" w:line="129" w:lineRule="exact"/>
              <w:rPr>
                <w:sz w:val="20"/>
                <w:szCs w:val="20"/>
                <w:color w:val="auto"/>
              </w:rPr>
            </w:pPr>
            <w:r>
              <w:rPr>
                <w:rFonts w:ascii="Times New Roman" w:cs="Times New Roman" w:eastAsia="Times New Roman" w:hAnsi="Times New Roman"/>
                <w:sz w:val="14"/>
                <w:szCs w:val="14"/>
                <w:b w:val="1"/>
                <w:bCs w:val="1"/>
                <w:color w:val="auto"/>
              </w:rPr>
              <w:t>September 26,</w:t>
            </w: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September 25,</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73"/>
              <w:spacing w:after="0" w:line="129" w:lineRule="exact"/>
              <w:rPr>
                <w:sz w:val="20"/>
                <w:szCs w:val="20"/>
                <w:color w:val="auto"/>
              </w:rPr>
            </w:pPr>
            <w:r>
              <w:rPr>
                <w:rFonts w:ascii="Times New Roman" w:cs="Times New Roman" w:eastAsia="Times New Roman" w:hAnsi="Times New Roman"/>
                <w:sz w:val="14"/>
                <w:szCs w:val="14"/>
                <w:b w:val="1"/>
                <w:bCs w:val="1"/>
                <w:color w:val="auto"/>
              </w:rPr>
              <w:t>September 26,</w:t>
            </w:r>
          </w:p>
        </w:tc>
      </w:tr>
      <w:tr>
        <w:trPr>
          <w:trHeight w:val="196"/>
        </w:trPr>
        <w:tc>
          <w:tcPr>
            <w:tcW w:w="6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254.9</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350.5</w:t>
            </w:r>
          </w:p>
        </w:tc>
      </w:tr>
      <w:tr>
        <w:trPr>
          <w:trHeight w:val="209"/>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earnings (loss):</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61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Foreign currency translation adjustments, net of tax</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29"/>
        </w:trPr>
        <w:tc>
          <w:tcPr>
            <w:tcW w:w="61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Unrealized holding losses on available-for-sale securities, net of tax</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61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Net gains on cash flow hedging activities, net of tax</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29"/>
        </w:trPr>
        <w:tc>
          <w:tcPr>
            <w:tcW w:w="61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Reclassifications to earnings, net of tax:</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612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Net gains (losses) on cash flow hedging activities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61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Amortization of unrecognized pension and postretirement amounts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9"/>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comprehensive loss, net of tax</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23"/>
        </w:trPr>
        <w:tc>
          <w:tcPr>
            <w:tcW w:w="6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comprehensive earnings (loss) attributable to noncontrolling interests</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48"/>
        </w:trPr>
        <w:tc>
          <w:tcPr>
            <w:tcW w:w="6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earnings attributable to Hasbro, Inc.</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332.9</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condensed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561975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 w:name="page7"/>
    <w:bookmarkEnd w:id="6"/>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HASBRO, INC. AND SUBSIDIARIES</w:t>
      </w:r>
    </w:p>
    <w:p>
      <w:pPr>
        <w:spacing w:after="0" w:line="3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(Millions of Dollars)</w:t>
      </w:r>
    </w:p>
    <w:p>
      <w:pPr>
        <w:spacing w:after="0" w:line="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9" w:lineRule="exact"/>
        <w:rPr>
          <w:sz w:val="20"/>
          <w:szCs w:val="20"/>
          <w:color w:val="auto"/>
        </w:rPr>
      </w:pPr>
    </w:p>
    <w:tbl>
      <w:tblPr>
        <w:tblLayout w:type="fixed"/>
        <w:tblInd w:w="260" w:type="dxa"/>
        <w:tblCellMar>
          <w:top w:w="0" w:type="dxa"/>
          <w:left w:w="0" w:type="dxa"/>
          <w:bottom w:w="0" w:type="dxa"/>
          <w:right w:w="0" w:type="dxa"/>
        </w:tblCellMar>
      </w:tblPr>
      <w:tr>
        <w:trPr>
          <w:trHeight w:val="190"/>
        </w:trPr>
        <w:tc>
          <w:tcPr>
            <w:tcW w:w="7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0" w:type="dxa"/>
            <w:vAlign w:val="bottom"/>
            <w:gridSpan w:val="4"/>
          </w:tcPr>
          <w:p>
            <w:pPr>
              <w:jc w:val="right"/>
              <w:ind w:right="71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79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29"/>
        </w:trPr>
        <w:tc>
          <w:tcPr>
            <w:tcW w:w="7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4"/>
                <w:szCs w:val="14"/>
                <w:b w:val="1"/>
                <w:bCs w:val="1"/>
                <w:color w:val="auto"/>
              </w:rPr>
              <w:t>September 25,</w:t>
            </w:r>
          </w:p>
        </w:tc>
        <w:tc>
          <w:tcPr>
            <w:tcW w:w="160" w:type="dxa"/>
            <w:vAlign w:val="bottom"/>
          </w:tcPr>
          <w:p>
            <w:pPr>
              <w:spacing w:after="0"/>
              <w:rPr>
                <w:sz w:val="11"/>
                <w:szCs w:val="11"/>
                <w:color w:val="auto"/>
              </w:rPr>
            </w:pPr>
          </w:p>
        </w:tc>
        <w:tc>
          <w:tcPr>
            <w:tcW w:w="1160" w:type="dxa"/>
            <w:vAlign w:val="bottom"/>
          </w:tcPr>
          <w:p>
            <w:pPr>
              <w:jc w:val="right"/>
              <w:ind w:right="151"/>
              <w:spacing w:after="0" w:line="129" w:lineRule="exact"/>
              <w:rPr>
                <w:sz w:val="20"/>
                <w:szCs w:val="20"/>
                <w:color w:val="auto"/>
              </w:rPr>
            </w:pPr>
            <w:r>
              <w:rPr>
                <w:rFonts w:ascii="Times New Roman" w:cs="Times New Roman" w:eastAsia="Times New Roman" w:hAnsi="Times New Roman"/>
                <w:sz w:val="14"/>
                <w:szCs w:val="14"/>
                <w:b w:val="1"/>
                <w:bCs w:val="1"/>
                <w:color w:val="auto"/>
              </w:rPr>
              <w:t>September 26,</w:t>
            </w:r>
          </w:p>
        </w:tc>
      </w:tr>
      <w:tr>
        <w:trPr>
          <w:trHeight w:val="196"/>
        </w:trPr>
        <w:tc>
          <w:tcPr>
            <w:tcW w:w="79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350.5</w:t>
            </w:r>
          </w:p>
        </w:tc>
      </w:tr>
      <w:tr>
        <w:trPr>
          <w:trHeight w:val="23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earnings to net cash provided by operating activities: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79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Depreciation of plant and equipment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w:t>
            </w:r>
          </w:p>
        </w:tc>
      </w:tr>
      <w:tr>
        <w:trPr>
          <w:trHeight w:val="229"/>
        </w:trPr>
        <w:tc>
          <w:tcPr>
            <w:tcW w:w="7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w:t>
            </w:r>
          </w:p>
        </w:tc>
      </w:tr>
      <w:tr>
        <w:trPr>
          <w:trHeight w:val="230"/>
        </w:trPr>
        <w:tc>
          <w:tcPr>
            <w:tcW w:w="79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Loss on assets held for sale</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Loss on disposal of business</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w:t>
            </w:r>
          </w:p>
        </w:tc>
      </w:tr>
      <w:tr>
        <w:trPr>
          <w:trHeight w:val="230"/>
        </w:trPr>
        <w:tc>
          <w:tcPr>
            <w:tcW w:w="79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Program cost amortization</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396.1</w:t>
            </w:r>
          </w:p>
        </w:tc>
      </w:tr>
      <w:tr>
        <w:trPr>
          <w:trHeight w:val="229"/>
        </w:trPr>
        <w:tc>
          <w:tcPr>
            <w:tcW w:w="7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r>
      <w:tr>
        <w:trPr>
          <w:trHeight w:val="229"/>
        </w:trPr>
        <w:tc>
          <w:tcPr>
            <w:tcW w:w="79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r>
      <w:tr>
        <w:trPr>
          <w:trHeight w:val="230"/>
        </w:trPr>
        <w:tc>
          <w:tcPr>
            <w:tcW w:w="7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Other non-cash items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29"/>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operating assets and liabilities net of acquired balances:</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7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Decrease (increase) in accounts receivable</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w:t>
            </w:r>
          </w:p>
        </w:tc>
      </w:tr>
      <w:tr>
        <w:trPr>
          <w:trHeight w:val="230"/>
        </w:trPr>
        <w:tc>
          <w:tcPr>
            <w:tcW w:w="79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Increase in inventories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w:t>
            </w:r>
          </w:p>
        </w:tc>
      </w:tr>
      <w:tr>
        <w:trPr>
          <w:trHeight w:val="229"/>
        </w:trPr>
        <w:tc>
          <w:tcPr>
            <w:tcW w:w="7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Decrease in prepaid expenses and other current assets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r>
      <w:tr>
        <w:trPr>
          <w:trHeight w:val="230"/>
        </w:trPr>
        <w:tc>
          <w:tcPr>
            <w:tcW w:w="79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Program spend, net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(526.3)</w:t>
            </w:r>
          </w:p>
        </w:tc>
      </w:tr>
      <w:tr>
        <w:trPr>
          <w:trHeight w:val="229"/>
        </w:trPr>
        <w:tc>
          <w:tcPr>
            <w:tcW w:w="7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(Decrease) increase in accounts payable and accrued liabilities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w:t>
            </w:r>
          </w:p>
        </w:tc>
      </w:tr>
      <w:tr>
        <w:trPr>
          <w:trHeight w:val="229"/>
        </w:trPr>
        <w:tc>
          <w:tcPr>
            <w:tcW w:w="79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Change in net deemed repatriation tax</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30"/>
        </w:trPr>
        <w:tc>
          <w:tcPr>
            <w:tcW w:w="7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r>
      <w:tr>
        <w:trPr>
          <w:trHeight w:val="223"/>
        </w:trPr>
        <w:tc>
          <w:tcPr>
            <w:tcW w:w="7980" w:type="dxa"/>
            <w:vAlign w:val="bottom"/>
            <w:tcBorders>
              <w:bottom w:val="single" w:sz="8" w:color="CCEEFF"/>
            </w:tcBorders>
          </w:tcPr>
          <w:p>
            <w:pPr>
              <w:ind w:left="11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685.6</w:t>
            </w:r>
          </w:p>
        </w:tc>
      </w:tr>
      <w:tr>
        <w:trPr>
          <w:trHeight w:val="20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0"/>
        </w:trPr>
        <w:tc>
          <w:tcPr>
            <w:tcW w:w="79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w:t>
            </w:r>
          </w:p>
        </w:tc>
      </w:tr>
      <w:tr>
        <w:trPr>
          <w:trHeight w:val="230"/>
        </w:trPr>
        <w:tc>
          <w:tcPr>
            <w:tcW w:w="7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Acquisitions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9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Proceeds from sale of business, net of cash</w:t>
            </w:r>
          </w:p>
        </w:tc>
        <w:tc>
          <w:tcPr>
            <w:tcW w:w="16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379.2</w:t>
            </w:r>
          </w:p>
        </w:tc>
      </w:tr>
      <w:tr>
        <w:trPr>
          <w:trHeight w:val="229"/>
        </w:trPr>
        <w:tc>
          <w:tcPr>
            <w:tcW w:w="7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3"/>
        </w:trPr>
        <w:tc>
          <w:tcPr>
            <w:tcW w:w="7980" w:type="dxa"/>
            <w:vAlign w:val="bottom"/>
            <w:tcBorders>
              <w:bottom w:val="single" w:sz="8" w:color="CCEEFF"/>
            </w:tcBorders>
          </w:tcPr>
          <w:p>
            <w:pPr>
              <w:ind w:left="1100"/>
              <w:spacing w:after="0"/>
              <w:rPr>
                <w:sz w:val="20"/>
                <w:szCs w:val="20"/>
                <w:color w:val="auto"/>
              </w:rPr>
            </w:pPr>
            <w:r>
              <w:rPr>
                <w:rFonts w:ascii="Times New Roman" w:cs="Times New Roman" w:eastAsia="Times New Roman" w:hAnsi="Times New Roman"/>
                <w:sz w:val="18"/>
                <w:szCs w:val="18"/>
                <w:color w:val="auto"/>
              </w:rPr>
              <w:t>Net cash (utilized) provided by investing activities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277.5</w:t>
            </w:r>
          </w:p>
        </w:tc>
      </w:tr>
      <w:tr>
        <w:trPr>
          <w:trHeight w:val="20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0"/>
        </w:trPr>
        <w:tc>
          <w:tcPr>
            <w:tcW w:w="79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Proceeds from borrowings with maturity greater than three months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w:t>
            </w:r>
          </w:p>
        </w:tc>
      </w:tr>
      <w:tr>
        <w:trPr>
          <w:trHeight w:val="230"/>
        </w:trPr>
        <w:tc>
          <w:tcPr>
            <w:tcW w:w="7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Repayments of borrowings with maturity greater than three months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(1,062.1)</w:t>
            </w:r>
          </w:p>
        </w:tc>
      </w:tr>
      <w:tr>
        <w:trPr>
          <w:trHeight w:val="230"/>
        </w:trPr>
        <w:tc>
          <w:tcPr>
            <w:tcW w:w="79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Net proceeds from other short-term borrowings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29"/>
        </w:trPr>
        <w:tc>
          <w:tcPr>
            <w:tcW w:w="7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Purchases of common stock</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9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Stock-based compensation transactions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r>
      <w:tr>
        <w:trPr>
          <w:trHeight w:val="230"/>
        </w:trPr>
        <w:tc>
          <w:tcPr>
            <w:tcW w:w="7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Dividends paid</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(280.7)</w:t>
            </w:r>
          </w:p>
        </w:tc>
      </w:tr>
      <w:tr>
        <w:trPr>
          <w:trHeight w:val="230"/>
        </w:trPr>
        <w:tc>
          <w:tcPr>
            <w:tcW w:w="79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Payments related to tax withholding for share-based compensation</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29"/>
        </w:trPr>
        <w:tc>
          <w:tcPr>
            <w:tcW w:w="7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Debt extinguishment costs</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30"/>
        </w:trPr>
        <w:tc>
          <w:tcPr>
            <w:tcW w:w="798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23"/>
        </w:trPr>
        <w:tc>
          <w:tcPr>
            <w:tcW w:w="798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Net cash utilized by financing activities</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(1,223.5)</w:t>
            </w:r>
          </w:p>
        </w:tc>
      </w:tr>
      <w:tr>
        <w:trPr>
          <w:trHeight w:val="223"/>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2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decrease in cash, cash equivalents and restricted cash</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w:t>
            </w:r>
          </w:p>
        </w:tc>
      </w:tr>
      <w:tr>
        <w:trPr>
          <w:trHeight w:val="229"/>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change due to cash classified as held for sale</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decrease in cash, cash equivalents and restricted cash</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w:t>
            </w:r>
          </w:p>
        </w:tc>
      </w:tr>
      <w:tr>
        <w:trPr>
          <w:trHeight w:val="230"/>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beginning of year</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1,449.7</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1,181.2</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7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tcPr>
          <w:p>
            <w:pPr>
              <w:spacing w:after="0"/>
              <w:rPr>
                <w:sz w:val="8"/>
                <w:szCs w:val="8"/>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Supplemental information</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79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798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Interest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w:t>
            </w:r>
          </w:p>
        </w:tc>
      </w:tr>
      <w:tr>
        <w:trPr>
          <w:trHeight w:val="234"/>
        </w:trPr>
        <w:tc>
          <w:tcPr>
            <w:tcW w:w="79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Income taxes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w:t>
            </w: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condensed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356235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482" w:right="57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HASBRO,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 and Redeemable Noncontrolling Interests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(Millions of Dollars)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September 25, 2022</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8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w w:val="99"/>
              </w:rPr>
              <w:t>Common</w:t>
            </w:r>
          </w:p>
        </w:tc>
        <w:tc>
          <w:tcPr>
            <w:tcW w:w="1060" w:type="dxa"/>
            <w:vAlign w:val="bottom"/>
            <w:tcBorders>
              <w:top w:val="single" w:sz="8" w:color="auto"/>
            </w:tcBorders>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Additional</w:t>
            </w:r>
          </w:p>
        </w:tc>
        <w:tc>
          <w:tcPr>
            <w:tcW w:w="1120" w:type="dxa"/>
            <w:vAlign w:val="bottom"/>
            <w:tcBorders>
              <w:top w:val="single" w:sz="8" w:color="auto"/>
            </w:tcBorders>
            <w:gridSpan w:val="2"/>
            <w:vMerge w:val="restart"/>
          </w:tcPr>
          <w:p>
            <w:pPr>
              <w:ind w:left="260"/>
              <w:spacing w:after="0"/>
              <w:rPr>
                <w:sz w:val="20"/>
                <w:szCs w:val="20"/>
                <w:color w:val="auto"/>
              </w:rPr>
            </w:pPr>
            <w:r>
              <w:rPr>
                <w:rFonts w:ascii="Times New Roman" w:cs="Times New Roman" w:eastAsia="Times New Roman" w:hAnsi="Times New Roman"/>
                <w:sz w:val="14"/>
                <w:szCs w:val="14"/>
                <w:color w:val="auto"/>
              </w:rPr>
              <w:t>Retained</w:t>
            </w:r>
          </w:p>
        </w:tc>
        <w:tc>
          <w:tcPr>
            <w:tcW w:w="1420" w:type="dxa"/>
            <w:vAlign w:val="bottom"/>
            <w:tcBorders>
              <w:top w:val="single" w:sz="8" w:color="auto"/>
            </w:tcBorders>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Accumulated Other</w:t>
            </w:r>
          </w:p>
        </w:tc>
        <w:tc>
          <w:tcPr>
            <w:tcW w:w="1120" w:type="dxa"/>
            <w:vAlign w:val="bottom"/>
            <w:tcBorders>
              <w:top w:val="single" w:sz="8" w:color="auto"/>
            </w:tcBorders>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Treasury</w:t>
            </w:r>
          </w:p>
        </w:tc>
        <w:tc>
          <w:tcPr>
            <w:tcW w:w="1300" w:type="dxa"/>
            <w:vAlign w:val="bottom"/>
            <w:tcBorders>
              <w:top w:val="single" w:sz="8" w:color="auto"/>
            </w:tcBorders>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Noncontrolling</w:t>
            </w:r>
          </w:p>
        </w:tc>
        <w:tc>
          <w:tcPr>
            <w:tcW w:w="120" w:type="dxa"/>
            <w:vAlign w:val="bottom"/>
            <w:tcBorders>
              <w:top w:val="single" w:sz="8" w:color="auto"/>
            </w:tcBorders>
          </w:tcPr>
          <w:p>
            <w:pPr>
              <w:spacing w:after="0"/>
              <w:rPr>
                <w:sz w:val="13"/>
                <w:szCs w:val="13"/>
                <w:color w:val="auto"/>
              </w:rPr>
            </w:pPr>
          </w:p>
        </w:tc>
        <w:tc>
          <w:tcPr>
            <w:tcW w:w="1100" w:type="dxa"/>
            <w:vAlign w:val="bottom"/>
            <w:tcBorders>
              <w:top w:val="single" w:sz="8" w:color="auto"/>
              <w:right w:val="single" w:sz="8" w:color="auto"/>
            </w:tcBorders>
            <w:gridSpan w:val="2"/>
          </w:tcPr>
          <w:p>
            <w:pPr>
              <w:jc w:val="center"/>
              <w:ind w:right="240"/>
              <w:spacing w:after="0" w:line="153" w:lineRule="exact"/>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center"/>
              <w:ind w:right="48"/>
              <w:spacing w:after="0" w:line="153" w:lineRule="exact"/>
              <w:rPr>
                <w:sz w:val="20"/>
                <w:szCs w:val="20"/>
                <w:color w:val="auto"/>
              </w:rPr>
            </w:pPr>
            <w:r>
              <w:rPr>
                <w:rFonts w:ascii="Times New Roman" w:cs="Times New Roman" w:eastAsia="Times New Roman" w:hAnsi="Times New Roman"/>
                <w:sz w:val="14"/>
                <w:szCs w:val="14"/>
                <w:color w:val="auto"/>
              </w:rPr>
              <w:t>Redeemable</w:t>
            </w:r>
          </w:p>
        </w:tc>
        <w:tc>
          <w:tcPr>
            <w:tcW w:w="0" w:type="dxa"/>
            <w:vAlign w:val="bottom"/>
          </w:tcPr>
          <w:p>
            <w:pPr>
              <w:spacing w:after="0"/>
              <w:rPr>
                <w:sz w:val="1"/>
                <w:szCs w:val="1"/>
                <w:color w:val="auto"/>
              </w:rPr>
            </w:pPr>
          </w:p>
        </w:tc>
      </w:tr>
      <w:tr>
        <w:trPr>
          <w:trHeight w:val="148"/>
        </w:trPr>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Borders>
              <w:right w:val="single" w:sz="8" w:color="auto"/>
            </w:tcBorders>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Shareholders'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color w:val="auto"/>
              </w:rPr>
              <w:t>Noncontrolling</w:t>
            </w:r>
          </w:p>
        </w:tc>
        <w:tc>
          <w:tcPr>
            <w:tcW w:w="0" w:type="dxa"/>
            <w:vAlign w:val="bottom"/>
          </w:tcPr>
          <w:p>
            <w:pPr>
              <w:spacing w:after="0"/>
              <w:rPr>
                <w:sz w:val="1"/>
                <w:szCs w:val="1"/>
                <w:color w:val="auto"/>
              </w:rPr>
            </w:pPr>
          </w:p>
        </w:tc>
      </w:tr>
      <w:tr>
        <w:trPr>
          <w:trHeight w:val="193"/>
        </w:trPr>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Stock</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Paid-in Capital</w:t>
            </w:r>
          </w:p>
        </w:tc>
        <w:tc>
          <w:tcPr>
            <w:tcW w:w="11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Earnings</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Comprehensive Loss</w:t>
            </w: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Stock</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Interests</w:t>
            </w:r>
          </w:p>
        </w:tc>
        <w:tc>
          <w:tcPr>
            <w:tcW w:w="120" w:type="dxa"/>
            <w:vAlign w:val="bottom"/>
          </w:tcPr>
          <w:p>
            <w:pPr>
              <w:spacing w:after="0"/>
              <w:rPr>
                <w:sz w:val="16"/>
                <w:szCs w:val="16"/>
                <w:color w:val="auto"/>
              </w:rPr>
            </w:pPr>
          </w:p>
        </w:tc>
        <w:tc>
          <w:tcPr>
            <w:tcW w:w="110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Equity</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Interests</w:t>
            </w:r>
          </w:p>
        </w:tc>
        <w:tc>
          <w:tcPr>
            <w:tcW w:w="0" w:type="dxa"/>
            <w:vAlign w:val="bottom"/>
          </w:tcPr>
          <w:p>
            <w:pPr>
              <w:spacing w:after="0"/>
              <w:rPr>
                <w:sz w:val="1"/>
                <w:szCs w:val="1"/>
                <w:color w:val="auto"/>
              </w:rPr>
            </w:pPr>
          </w:p>
        </w:tc>
      </w:tr>
      <w:tr>
        <w:trPr>
          <w:trHeight w:val="201"/>
        </w:trPr>
        <w:tc>
          <w:tcPr>
            <w:tcW w:w="1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June 26, 2022</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110.1</w:t>
            </w: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2,503.4</w:t>
            </w: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4,265.9</w:t>
            </w: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(259.6)</w:t>
            </w:r>
          </w:p>
        </w:tc>
        <w:tc>
          <w:tcPr>
            <w:tcW w:w="1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(3,636.2)</w:t>
            </w:r>
          </w:p>
        </w:tc>
        <w:tc>
          <w:tcPr>
            <w:tcW w:w="1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3,012.8</w:t>
            </w: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0" w:type="dxa"/>
            <w:vAlign w:val="bottom"/>
          </w:tcPr>
          <w:p>
            <w:pPr>
              <w:spacing w:after="0"/>
              <w:rPr>
                <w:sz w:val="1"/>
                <w:szCs w:val="1"/>
                <w:color w:val="auto"/>
              </w:rPr>
            </w:pPr>
          </w:p>
        </w:tc>
      </w:tr>
      <w:tr>
        <w:trPr>
          <w:trHeight w:val="139"/>
        </w:trPr>
        <w:tc>
          <w:tcPr>
            <w:tcW w:w="184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Net earnings attributable to</w:t>
            </w:r>
          </w:p>
        </w:tc>
        <w:tc>
          <w:tcPr>
            <w:tcW w:w="10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129.2</w:t>
            </w:r>
          </w:p>
        </w:tc>
        <w:tc>
          <w:tcPr>
            <w:tcW w:w="100" w:type="dxa"/>
            <w:vAlign w:val="bottom"/>
          </w:tcPr>
          <w:p>
            <w:pPr>
              <w:spacing w:after="0"/>
              <w:rPr>
                <w:sz w:val="12"/>
                <w:szCs w:val="12"/>
                <w:color w:val="auto"/>
              </w:rPr>
            </w:pPr>
          </w:p>
        </w:tc>
        <w:tc>
          <w:tcPr>
            <w:tcW w:w="1420" w:type="dxa"/>
            <w:vAlign w:val="bottom"/>
            <w:gridSpan w:val="2"/>
            <w:vMerge w:val="restart"/>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129.2</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1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Hasbro, Inc.</w:t>
            </w: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840" w:type="dxa"/>
            <w:vAlign w:val="bottom"/>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Net loss attributable to</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vMerge w:val="restart"/>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1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noncontrolling interests</w:t>
            </w: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420" w:type="dxa"/>
            <w:vAlign w:val="bottom"/>
            <w:gridSpan w:val="2"/>
            <w:vMerge w:val="continue"/>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(65.3)</w:t>
            </w:r>
          </w:p>
        </w:tc>
        <w:tc>
          <w:tcPr>
            <w:tcW w:w="12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(65.3)</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6"/>
        </w:trPr>
        <w:tc>
          <w:tcPr>
            <w:tcW w:w="1840" w:type="dxa"/>
            <w:vAlign w:val="bottom"/>
            <w:shd w:val="clear" w:color="auto" w:fill="CCEEFF"/>
          </w:tcPr>
          <w:p>
            <w:pPr>
              <w:ind w:left="140"/>
              <w:spacing w:after="0" w:line="147" w:lineRule="exact"/>
              <w:rPr>
                <w:sz w:val="20"/>
                <w:szCs w:val="20"/>
                <w:color w:val="auto"/>
              </w:rPr>
            </w:pPr>
            <w:r>
              <w:rPr>
                <w:rFonts w:ascii="Times New Roman" w:cs="Times New Roman" w:eastAsia="Times New Roman" w:hAnsi="Times New Roman"/>
                <w:sz w:val="14"/>
                <w:szCs w:val="14"/>
                <w:color w:val="auto"/>
              </w:rPr>
              <w:t>Stock-based compensation</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vMerge w:val="restart"/>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2"/>
                <w:szCs w:val="12"/>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1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transactions</w:t>
            </w: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420" w:type="dxa"/>
            <w:vAlign w:val="bottom"/>
            <w:gridSpan w:val="2"/>
            <w:vMerge w:val="continue"/>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Purchases of common stock</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6"/>
        </w:trPr>
        <w:tc>
          <w:tcPr>
            <w:tcW w:w="1840" w:type="dxa"/>
            <w:vAlign w:val="bottom"/>
            <w:shd w:val="clear" w:color="auto" w:fill="CCEEFF"/>
          </w:tcPr>
          <w:p>
            <w:pPr>
              <w:ind w:left="140"/>
              <w:spacing w:after="0" w:line="147" w:lineRule="exact"/>
              <w:rPr>
                <w:sz w:val="20"/>
                <w:szCs w:val="20"/>
                <w:color w:val="auto"/>
              </w:rPr>
            </w:pPr>
            <w:r>
              <w:rPr>
                <w:rFonts w:ascii="Times New Roman" w:cs="Times New Roman" w:eastAsia="Times New Roman" w:hAnsi="Times New Roman"/>
                <w:sz w:val="14"/>
                <w:szCs w:val="14"/>
                <w:color w:val="auto"/>
              </w:rPr>
              <w:t>Stock-based compensation</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10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vMerge w:val="restart"/>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shd w:val="clear" w:color="auto" w:fill="CCEEFF"/>
          </w:tcPr>
          <w:p>
            <w:pPr>
              <w:spacing w:after="0"/>
              <w:rPr>
                <w:sz w:val="12"/>
                <w:szCs w:val="12"/>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1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expense</w:t>
            </w: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420" w:type="dxa"/>
            <w:vAlign w:val="bottom"/>
            <w:gridSpan w:val="2"/>
            <w:vMerge w:val="continue"/>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Dividends declared</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(97.3)</w:t>
            </w:r>
          </w:p>
        </w:tc>
        <w:tc>
          <w:tcPr>
            <w:tcW w:w="100" w:type="dxa"/>
            <w:vAlign w:val="bottom"/>
          </w:tcPr>
          <w:p>
            <w:pPr>
              <w:spacing w:after="0"/>
              <w:rPr>
                <w:sz w:val="16"/>
                <w:szCs w:val="16"/>
                <w:color w:val="auto"/>
              </w:rPr>
            </w:pPr>
          </w:p>
        </w:tc>
        <w:tc>
          <w:tcPr>
            <w:tcW w:w="1420" w:type="dxa"/>
            <w:vAlign w:val="bottom"/>
            <w:gridSpan w:val="2"/>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(96.6)</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6"/>
        </w:trPr>
        <w:tc>
          <w:tcPr>
            <w:tcW w:w="1840" w:type="dxa"/>
            <w:vAlign w:val="bottom"/>
            <w:shd w:val="clear" w:color="auto" w:fill="CCEEFF"/>
          </w:tcPr>
          <w:p>
            <w:pPr>
              <w:ind w:left="140"/>
              <w:spacing w:after="0" w:line="147" w:lineRule="exact"/>
              <w:rPr>
                <w:sz w:val="20"/>
                <w:szCs w:val="20"/>
                <w:color w:val="auto"/>
              </w:rPr>
            </w:pPr>
            <w:r>
              <w:rPr>
                <w:rFonts w:ascii="Times New Roman" w:cs="Times New Roman" w:eastAsia="Times New Roman" w:hAnsi="Times New Roman"/>
                <w:sz w:val="14"/>
                <w:szCs w:val="14"/>
                <w:color w:val="auto"/>
              </w:rPr>
              <w:t>Distributions paid to</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noncontrolling owners and</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vMerge w:val="restart"/>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1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foreign exchange</w:t>
            </w: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420" w:type="dxa"/>
            <w:vAlign w:val="bottom"/>
            <w:gridSpan w:val="2"/>
            <w:vMerge w:val="continue"/>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84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Buyout of redeemable</w:t>
            </w:r>
          </w:p>
        </w:tc>
        <w:tc>
          <w:tcPr>
            <w:tcW w:w="10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12"/>
                <w:szCs w:val="12"/>
                <w:color w:val="auto"/>
              </w:rPr>
            </w:pP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vMerge w:val="restart"/>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0" w:type="dxa"/>
            <w:vAlign w:val="bottom"/>
          </w:tcPr>
          <w:p>
            <w:pPr>
              <w:spacing w:after="0"/>
              <w:rPr>
                <w:sz w:val="1"/>
                <w:szCs w:val="1"/>
                <w:color w:val="auto"/>
              </w:rPr>
            </w:pPr>
          </w:p>
        </w:tc>
      </w:tr>
      <w:tr>
        <w:trPr>
          <w:trHeight w:val="193"/>
        </w:trPr>
        <w:tc>
          <w:tcPr>
            <w:tcW w:w="1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noncontrolling interest</w:t>
            </w: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1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September 25, 2022</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4,297.8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(3,637.1)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2,999.0</w:t>
            </w:r>
          </w:p>
        </w:tc>
        <w:tc>
          <w:tcPr>
            <w:tcW w:w="120" w:type="dxa"/>
            <w:vAlign w:val="bottom"/>
            <w:tcBorders>
              <w:top w:val="single" w:sz="8" w:color="CCEEFF"/>
              <w:bottom w:val="single" w:sz="8" w:color="CCEEFF"/>
              <w:right w:val="single" w:sz="8" w:color="auto"/>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ind w:left="580"/>
              <w:spacing w:after="0"/>
              <w:rPr>
                <w:sz w:val="20"/>
                <w:szCs w:val="20"/>
                <w:color w:val="auto"/>
              </w:rPr>
            </w:pPr>
            <w:r>
              <w:rPr>
                <w:rFonts w:ascii="Times New Roman" w:cs="Times New Roman" w:eastAsia="Times New Roman" w:hAnsi="Times New Roman"/>
                <w:sz w:val="14"/>
                <w:szCs w:val="14"/>
                <w:b w:val="1"/>
                <w:bCs w:val="1"/>
                <w:color w:val="auto"/>
              </w:rPr>
              <w:t>Three Months Ended September 26, 2021</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w w:val="99"/>
              </w:rPr>
              <w:t>Common</w:t>
            </w:r>
          </w:p>
        </w:tc>
        <w:tc>
          <w:tcPr>
            <w:tcW w:w="10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Additional</w:t>
            </w:r>
          </w:p>
        </w:tc>
        <w:tc>
          <w:tcPr>
            <w:tcW w:w="11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color w:val="auto"/>
              </w:rPr>
              <w:t>Retained</w:t>
            </w:r>
          </w:p>
        </w:tc>
        <w:tc>
          <w:tcPr>
            <w:tcW w:w="14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Accumulated Other</w:t>
            </w:r>
          </w:p>
        </w:tc>
        <w:tc>
          <w:tcPr>
            <w:tcW w:w="11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Treasury</w:t>
            </w:r>
          </w:p>
        </w:tc>
        <w:tc>
          <w:tcPr>
            <w:tcW w:w="13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Noncontrolling</w:t>
            </w:r>
          </w:p>
        </w:tc>
        <w:tc>
          <w:tcPr>
            <w:tcW w:w="120" w:type="dxa"/>
            <w:vAlign w:val="bottom"/>
          </w:tcPr>
          <w:p>
            <w:pPr>
              <w:spacing w:after="0"/>
              <w:rPr>
                <w:sz w:val="11"/>
                <w:szCs w:val="11"/>
                <w:color w:val="auto"/>
              </w:rPr>
            </w:pPr>
          </w:p>
        </w:tc>
        <w:tc>
          <w:tcPr>
            <w:tcW w:w="1100" w:type="dxa"/>
            <w:vAlign w:val="bottom"/>
            <w:tcBorders>
              <w:right w:val="single" w:sz="8" w:color="auto"/>
            </w:tcBorders>
            <w:gridSpan w:val="2"/>
          </w:tcPr>
          <w:p>
            <w:pPr>
              <w:jc w:val="center"/>
              <w:ind w:right="240"/>
              <w:spacing w:after="0" w:line="133" w:lineRule="exact"/>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center"/>
              <w:ind w:right="48"/>
              <w:spacing w:after="0" w:line="133" w:lineRule="exact"/>
              <w:rPr>
                <w:sz w:val="20"/>
                <w:szCs w:val="20"/>
                <w:color w:val="auto"/>
              </w:rPr>
            </w:pPr>
            <w:r>
              <w:rPr>
                <w:rFonts w:ascii="Times New Roman" w:cs="Times New Roman" w:eastAsia="Times New Roman" w:hAnsi="Times New Roman"/>
                <w:sz w:val="14"/>
                <w:szCs w:val="14"/>
                <w:color w:val="auto"/>
              </w:rPr>
              <w:t>Redeemable</w:t>
            </w:r>
          </w:p>
        </w:tc>
        <w:tc>
          <w:tcPr>
            <w:tcW w:w="0" w:type="dxa"/>
            <w:vAlign w:val="bottom"/>
          </w:tcPr>
          <w:p>
            <w:pPr>
              <w:spacing w:after="0"/>
              <w:rPr>
                <w:sz w:val="1"/>
                <w:szCs w:val="1"/>
                <w:color w:val="auto"/>
              </w:rPr>
            </w:pPr>
          </w:p>
        </w:tc>
      </w:tr>
      <w:tr>
        <w:trPr>
          <w:trHeight w:val="148"/>
        </w:trPr>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Borders>
              <w:right w:val="single" w:sz="8" w:color="auto"/>
            </w:tcBorders>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Shareholders'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color w:val="auto"/>
              </w:rPr>
              <w:t>Noncontrolling</w:t>
            </w:r>
          </w:p>
        </w:tc>
        <w:tc>
          <w:tcPr>
            <w:tcW w:w="0" w:type="dxa"/>
            <w:vAlign w:val="bottom"/>
          </w:tcPr>
          <w:p>
            <w:pPr>
              <w:spacing w:after="0"/>
              <w:rPr>
                <w:sz w:val="1"/>
                <w:szCs w:val="1"/>
                <w:color w:val="auto"/>
              </w:rPr>
            </w:pPr>
          </w:p>
        </w:tc>
      </w:tr>
      <w:tr>
        <w:trPr>
          <w:trHeight w:val="193"/>
        </w:trPr>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Stock</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Paid-in Capital</w:t>
            </w:r>
          </w:p>
        </w:tc>
        <w:tc>
          <w:tcPr>
            <w:tcW w:w="11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Earnings</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Comprehensive Loss</w:t>
            </w: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Stock</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Interests</w:t>
            </w:r>
          </w:p>
        </w:tc>
        <w:tc>
          <w:tcPr>
            <w:tcW w:w="120" w:type="dxa"/>
            <w:vAlign w:val="bottom"/>
          </w:tcPr>
          <w:p>
            <w:pPr>
              <w:spacing w:after="0"/>
              <w:rPr>
                <w:sz w:val="16"/>
                <w:szCs w:val="16"/>
                <w:color w:val="auto"/>
              </w:rPr>
            </w:pPr>
          </w:p>
        </w:tc>
        <w:tc>
          <w:tcPr>
            <w:tcW w:w="110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Equity</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Interests</w:t>
            </w:r>
          </w:p>
        </w:tc>
        <w:tc>
          <w:tcPr>
            <w:tcW w:w="0" w:type="dxa"/>
            <w:vAlign w:val="bottom"/>
          </w:tcPr>
          <w:p>
            <w:pPr>
              <w:spacing w:after="0"/>
              <w:rPr>
                <w:sz w:val="1"/>
                <w:szCs w:val="1"/>
                <w:color w:val="auto"/>
              </w:rPr>
            </w:pPr>
          </w:p>
        </w:tc>
      </w:tr>
      <w:tr>
        <w:trPr>
          <w:trHeight w:val="201"/>
        </w:trPr>
        <w:tc>
          <w:tcPr>
            <w:tcW w:w="1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June 27, 2021</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110.1</w:t>
            </w: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2,361.2</w:t>
            </w: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4,110.3</w:t>
            </w: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(183.5)</w:t>
            </w:r>
          </w:p>
        </w:tc>
        <w:tc>
          <w:tcPr>
            <w:tcW w:w="1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(3,547.6)</w:t>
            </w:r>
          </w:p>
        </w:tc>
        <w:tc>
          <w:tcPr>
            <w:tcW w:w="1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2,890.4</w:t>
            </w: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0" w:type="dxa"/>
            <w:vAlign w:val="bottom"/>
          </w:tcPr>
          <w:p>
            <w:pPr>
              <w:spacing w:after="0"/>
              <w:rPr>
                <w:sz w:val="1"/>
                <w:szCs w:val="1"/>
                <w:color w:val="auto"/>
              </w:rPr>
            </w:pPr>
          </w:p>
        </w:tc>
      </w:tr>
      <w:tr>
        <w:trPr>
          <w:trHeight w:val="139"/>
        </w:trPr>
        <w:tc>
          <w:tcPr>
            <w:tcW w:w="1840" w:type="dxa"/>
            <w:vAlign w:val="bottom"/>
          </w:tcPr>
          <w:p>
            <w:pPr>
              <w:ind w:left="220"/>
              <w:spacing w:after="0" w:line="139" w:lineRule="exact"/>
              <w:rPr>
                <w:sz w:val="20"/>
                <w:szCs w:val="20"/>
                <w:color w:val="auto"/>
              </w:rPr>
            </w:pPr>
            <w:r>
              <w:rPr>
                <w:rFonts w:ascii="Times New Roman" w:cs="Times New Roman" w:eastAsia="Times New Roman" w:hAnsi="Times New Roman"/>
                <w:sz w:val="14"/>
                <w:szCs w:val="14"/>
                <w:color w:val="auto"/>
              </w:rPr>
              <w:t>Net loss attributable to</w:t>
            </w:r>
          </w:p>
        </w:tc>
        <w:tc>
          <w:tcPr>
            <w:tcW w:w="10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253.2</w:t>
            </w:r>
          </w:p>
        </w:tc>
        <w:tc>
          <w:tcPr>
            <w:tcW w:w="100" w:type="dxa"/>
            <w:vAlign w:val="bottom"/>
          </w:tcPr>
          <w:p>
            <w:pPr>
              <w:spacing w:after="0"/>
              <w:rPr>
                <w:sz w:val="12"/>
                <w:szCs w:val="12"/>
                <w:color w:val="auto"/>
              </w:rPr>
            </w:pPr>
          </w:p>
        </w:tc>
        <w:tc>
          <w:tcPr>
            <w:tcW w:w="1420" w:type="dxa"/>
            <w:vAlign w:val="bottom"/>
            <w:gridSpan w:val="2"/>
            <w:vMerge w:val="restart"/>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253.2</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18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Hasbro, Inc.</w:t>
            </w: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840" w:type="dxa"/>
            <w:vAlign w:val="bottom"/>
            <w:shd w:val="clear" w:color="auto" w:fill="CCEEFF"/>
          </w:tcPr>
          <w:p>
            <w:pPr>
              <w:ind w:left="220"/>
              <w:spacing w:after="0" w:line="145" w:lineRule="exact"/>
              <w:rPr>
                <w:sz w:val="20"/>
                <w:szCs w:val="20"/>
                <w:color w:val="auto"/>
              </w:rPr>
            </w:pPr>
            <w:r>
              <w:rPr>
                <w:rFonts w:ascii="Times New Roman" w:cs="Times New Roman" w:eastAsia="Times New Roman" w:hAnsi="Times New Roman"/>
                <w:sz w:val="14"/>
                <w:szCs w:val="14"/>
                <w:color w:val="auto"/>
              </w:rPr>
              <w:t>Net earnings attributable to</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vMerge w:val="restart"/>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98"/>
        </w:trPr>
        <w:tc>
          <w:tcPr>
            <w:tcW w:w="1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420" w:type="dxa"/>
            <w:vAlign w:val="bottom"/>
            <w:gridSpan w:val="2"/>
            <w:vMerge w:val="continue"/>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8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12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6"/>
        </w:trPr>
        <w:tc>
          <w:tcPr>
            <w:tcW w:w="1840" w:type="dxa"/>
            <w:vAlign w:val="bottom"/>
            <w:shd w:val="clear" w:color="auto" w:fill="CCEEFF"/>
          </w:tcPr>
          <w:p>
            <w:pPr>
              <w:ind w:left="220"/>
              <w:spacing w:after="0" w:line="147" w:lineRule="exact"/>
              <w:rPr>
                <w:sz w:val="20"/>
                <w:szCs w:val="20"/>
                <w:color w:val="auto"/>
              </w:rPr>
            </w:pPr>
            <w:r>
              <w:rPr>
                <w:rFonts w:ascii="Times New Roman" w:cs="Times New Roman" w:eastAsia="Times New Roman" w:hAnsi="Times New Roman"/>
                <w:sz w:val="14"/>
                <w:szCs w:val="14"/>
                <w:color w:val="auto"/>
              </w:rPr>
              <w:t>Stock-based compensation</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vMerge w:val="restart"/>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shd w:val="clear" w:color="auto" w:fill="CCEEFF"/>
          </w:tcPr>
          <w:p>
            <w:pPr>
              <w:spacing w:after="0"/>
              <w:rPr>
                <w:sz w:val="12"/>
                <w:szCs w:val="12"/>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1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transactions</w:t>
            </w: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420" w:type="dxa"/>
            <w:vAlign w:val="bottom"/>
            <w:gridSpan w:val="2"/>
            <w:vMerge w:val="continue"/>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840" w:type="dxa"/>
            <w:vAlign w:val="bottom"/>
          </w:tcPr>
          <w:p>
            <w:pPr>
              <w:ind w:left="220"/>
              <w:spacing w:after="0" w:line="139" w:lineRule="exact"/>
              <w:rPr>
                <w:sz w:val="20"/>
                <w:szCs w:val="20"/>
                <w:color w:val="auto"/>
              </w:rPr>
            </w:pPr>
            <w:r>
              <w:rPr>
                <w:rFonts w:ascii="Times New Roman" w:cs="Times New Roman" w:eastAsia="Times New Roman" w:hAnsi="Times New Roman"/>
                <w:sz w:val="14"/>
                <w:szCs w:val="14"/>
                <w:color w:val="auto"/>
              </w:rPr>
              <w:t>Stock-based compensation</w:t>
            </w:r>
          </w:p>
        </w:tc>
        <w:tc>
          <w:tcPr>
            <w:tcW w:w="10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100" w:type="dxa"/>
            <w:vAlign w:val="bottom"/>
          </w:tcPr>
          <w:p>
            <w:pPr>
              <w:spacing w:after="0"/>
              <w:rPr>
                <w:sz w:val="12"/>
                <w:szCs w:val="12"/>
                <w:color w:val="auto"/>
              </w:rPr>
            </w:pP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vMerge w:val="restart"/>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18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expense</w:t>
            </w: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Dividends declared</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(93.9)</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(93.9)</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9"/>
        </w:trPr>
        <w:tc>
          <w:tcPr>
            <w:tcW w:w="1840" w:type="dxa"/>
            <w:vAlign w:val="bottom"/>
          </w:tcPr>
          <w:p>
            <w:pPr>
              <w:ind w:left="220"/>
              <w:spacing w:after="0" w:line="139" w:lineRule="exact"/>
              <w:rPr>
                <w:sz w:val="20"/>
                <w:szCs w:val="20"/>
                <w:color w:val="auto"/>
              </w:rPr>
            </w:pPr>
            <w:r>
              <w:rPr>
                <w:rFonts w:ascii="Times New Roman" w:cs="Times New Roman" w:eastAsia="Times New Roman" w:hAnsi="Times New Roman"/>
                <w:sz w:val="14"/>
                <w:szCs w:val="14"/>
                <w:color w:val="auto"/>
              </w:rPr>
              <w:t>Distributions paid to</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noncontrolling owners and</w:t>
            </w:r>
          </w:p>
        </w:tc>
        <w:tc>
          <w:tcPr>
            <w:tcW w:w="10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2"/>
                <w:szCs w:val="12"/>
                <w:color w:val="auto"/>
              </w:rPr>
            </w:pP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vMerge w:val="restart"/>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93"/>
        </w:trPr>
        <w:tc>
          <w:tcPr>
            <w:tcW w:w="18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 foreign exchange</w:t>
            </w: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1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September 26, 2021</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2,388.9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4,269.6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(3,541.0)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3,057.2</w:t>
            </w:r>
          </w:p>
        </w:tc>
        <w:tc>
          <w:tcPr>
            <w:tcW w:w="120" w:type="dxa"/>
            <w:vAlign w:val="bottom"/>
            <w:tcBorders>
              <w:top w:val="single" w:sz="8" w:color="CCEEFF"/>
              <w:bottom w:val="single" w:sz="8" w:color="CCEEFF"/>
              <w:right w:val="single" w:sz="8" w:color="auto"/>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2"/>
        </w:trPr>
        <w:tc>
          <w:tcPr>
            <w:tcW w:w="1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HASBRO,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 and Redeemable Noncontrolling Interests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(Millions of Dollars)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 September 25, 2022</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8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w w:val="99"/>
              </w:rPr>
              <w:t>Common</w:t>
            </w:r>
          </w:p>
        </w:tc>
        <w:tc>
          <w:tcPr>
            <w:tcW w:w="1060" w:type="dxa"/>
            <w:vAlign w:val="bottom"/>
            <w:tcBorders>
              <w:top w:val="single" w:sz="8" w:color="auto"/>
            </w:tcBorders>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Additional</w:t>
            </w:r>
          </w:p>
        </w:tc>
        <w:tc>
          <w:tcPr>
            <w:tcW w:w="1120" w:type="dxa"/>
            <w:vAlign w:val="bottom"/>
            <w:tcBorders>
              <w:top w:val="single" w:sz="8" w:color="auto"/>
            </w:tcBorders>
            <w:gridSpan w:val="2"/>
            <w:vMerge w:val="restart"/>
          </w:tcPr>
          <w:p>
            <w:pPr>
              <w:ind w:left="260"/>
              <w:spacing w:after="0"/>
              <w:rPr>
                <w:sz w:val="20"/>
                <w:szCs w:val="20"/>
                <w:color w:val="auto"/>
              </w:rPr>
            </w:pPr>
            <w:r>
              <w:rPr>
                <w:rFonts w:ascii="Times New Roman" w:cs="Times New Roman" w:eastAsia="Times New Roman" w:hAnsi="Times New Roman"/>
                <w:sz w:val="14"/>
                <w:szCs w:val="14"/>
                <w:color w:val="auto"/>
              </w:rPr>
              <w:t>Retained</w:t>
            </w:r>
          </w:p>
        </w:tc>
        <w:tc>
          <w:tcPr>
            <w:tcW w:w="1420" w:type="dxa"/>
            <w:vAlign w:val="bottom"/>
            <w:tcBorders>
              <w:top w:val="single" w:sz="8" w:color="auto"/>
            </w:tcBorders>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Accumulated Other</w:t>
            </w:r>
          </w:p>
        </w:tc>
        <w:tc>
          <w:tcPr>
            <w:tcW w:w="1120" w:type="dxa"/>
            <w:vAlign w:val="bottom"/>
            <w:tcBorders>
              <w:top w:val="single" w:sz="8" w:color="auto"/>
            </w:tcBorders>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Treasury</w:t>
            </w:r>
          </w:p>
        </w:tc>
        <w:tc>
          <w:tcPr>
            <w:tcW w:w="1300" w:type="dxa"/>
            <w:vAlign w:val="bottom"/>
            <w:tcBorders>
              <w:top w:val="single" w:sz="8" w:color="auto"/>
            </w:tcBorders>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Noncontrolling</w:t>
            </w:r>
          </w:p>
        </w:tc>
        <w:tc>
          <w:tcPr>
            <w:tcW w:w="120" w:type="dxa"/>
            <w:vAlign w:val="bottom"/>
            <w:tcBorders>
              <w:top w:val="single" w:sz="8" w:color="auto"/>
            </w:tcBorders>
          </w:tcPr>
          <w:p>
            <w:pPr>
              <w:spacing w:after="0"/>
              <w:rPr>
                <w:sz w:val="13"/>
                <w:szCs w:val="13"/>
                <w:color w:val="auto"/>
              </w:rPr>
            </w:pPr>
          </w:p>
        </w:tc>
        <w:tc>
          <w:tcPr>
            <w:tcW w:w="1100" w:type="dxa"/>
            <w:vAlign w:val="bottom"/>
            <w:tcBorders>
              <w:top w:val="single" w:sz="8" w:color="auto"/>
              <w:right w:val="single" w:sz="8" w:color="auto"/>
            </w:tcBorders>
            <w:gridSpan w:val="2"/>
          </w:tcPr>
          <w:p>
            <w:pPr>
              <w:jc w:val="center"/>
              <w:ind w:right="240"/>
              <w:spacing w:after="0" w:line="153" w:lineRule="exact"/>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center"/>
              <w:ind w:right="48"/>
              <w:spacing w:after="0" w:line="153" w:lineRule="exact"/>
              <w:rPr>
                <w:sz w:val="20"/>
                <w:szCs w:val="20"/>
                <w:color w:val="auto"/>
              </w:rPr>
            </w:pPr>
            <w:r>
              <w:rPr>
                <w:rFonts w:ascii="Times New Roman" w:cs="Times New Roman" w:eastAsia="Times New Roman" w:hAnsi="Times New Roman"/>
                <w:sz w:val="14"/>
                <w:szCs w:val="14"/>
                <w:color w:val="auto"/>
              </w:rPr>
              <w:t>Redeemable</w:t>
            </w:r>
          </w:p>
        </w:tc>
        <w:tc>
          <w:tcPr>
            <w:tcW w:w="0" w:type="dxa"/>
            <w:vAlign w:val="bottom"/>
          </w:tcPr>
          <w:p>
            <w:pPr>
              <w:spacing w:after="0"/>
              <w:rPr>
                <w:sz w:val="1"/>
                <w:szCs w:val="1"/>
                <w:color w:val="auto"/>
              </w:rPr>
            </w:pPr>
          </w:p>
        </w:tc>
      </w:tr>
      <w:tr>
        <w:trPr>
          <w:trHeight w:val="148"/>
        </w:trPr>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Borders>
              <w:right w:val="single" w:sz="8" w:color="auto"/>
            </w:tcBorders>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Shareholders'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color w:val="auto"/>
              </w:rPr>
              <w:t>Noncontrolling</w:t>
            </w:r>
          </w:p>
        </w:tc>
        <w:tc>
          <w:tcPr>
            <w:tcW w:w="0" w:type="dxa"/>
            <w:vAlign w:val="bottom"/>
          </w:tcPr>
          <w:p>
            <w:pPr>
              <w:spacing w:after="0"/>
              <w:rPr>
                <w:sz w:val="1"/>
                <w:szCs w:val="1"/>
                <w:color w:val="auto"/>
              </w:rPr>
            </w:pPr>
          </w:p>
        </w:tc>
      </w:tr>
      <w:tr>
        <w:trPr>
          <w:trHeight w:val="193"/>
        </w:trPr>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Stock</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Paid-in Capital</w:t>
            </w:r>
          </w:p>
        </w:tc>
        <w:tc>
          <w:tcPr>
            <w:tcW w:w="11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Earnings</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Comprehensive Loss</w:t>
            </w: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Stock</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Interests</w:t>
            </w:r>
          </w:p>
        </w:tc>
        <w:tc>
          <w:tcPr>
            <w:tcW w:w="120" w:type="dxa"/>
            <w:vAlign w:val="bottom"/>
          </w:tcPr>
          <w:p>
            <w:pPr>
              <w:spacing w:after="0"/>
              <w:rPr>
                <w:sz w:val="16"/>
                <w:szCs w:val="16"/>
                <w:color w:val="auto"/>
              </w:rPr>
            </w:pPr>
          </w:p>
        </w:tc>
        <w:tc>
          <w:tcPr>
            <w:tcW w:w="110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Equity</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Interests</w:t>
            </w:r>
          </w:p>
        </w:tc>
        <w:tc>
          <w:tcPr>
            <w:tcW w:w="0" w:type="dxa"/>
            <w:vAlign w:val="bottom"/>
          </w:tcPr>
          <w:p>
            <w:pPr>
              <w:spacing w:after="0"/>
              <w:rPr>
                <w:sz w:val="1"/>
                <w:szCs w:val="1"/>
                <w:color w:val="auto"/>
              </w:rPr>
            </w:pPr>
          </w:p>
        </w:tc>
      </w:tr>
      <w:tr>
        <w:trPr>
          <w:trHeight w:val="201"/>
        </w:trPr>
        <w:tc>
          <w:tcPr>
            <w:tcW w:w="1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26, 2021</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110.1</w:t>
            </w: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2,428.0</w:t>
            </w: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4,257.8</w:t>
            </w: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(235.3)</w:t>
            </w:r>
          </w:p>
        </w:tc>
        <w:tc>
          <w:tcPr>
            <w:tcW w:w="1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(3,534.7)</w:t>
            </w:r>
          </w:p>
        </w:tc>
        <w:tc>
          <w:tcPr>
            <w:tcW w:w="1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3,063.1</w:t>
            </w: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0" w:type="dxa"/>
            <w:vAlign w:val="bottom"/>
          </w:tcPr>
          <w:p>
            <w:pPr>
              <w:spacing w:after="0"/>
              <w:rPr>
                <w:sz w:val="1"/>
                <w:szCs w:val="1"/>
                <w:color w:val="auto"/>
              </w:rPr>
            </w:pPr>
          </w:p>
        </w:tc>
      </w:tr>
      <w:tr>
        <w:trPr>
          <w:trHeight w:val="139"/>
        </w:trPr>
        <w:tc>
          <w:tcPr>
            <w:tcW w:w="184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Net earnings attributable to</w:t>
            </w:r>
          </w:p>
        </w:tc>
        <w:tc>
          <w:tcPr>
            <w:tcW w:w="10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332.4</w:t>
            </w:r>
          </w:p>
        </w:tc>
        <w:tc>
          <w:tcPr>
            <w:tcW w:w="100" w:type="dxa"/>
            <w:vAlign w:val="bottom"/>
          </w:tcPr>
          <w:p>
            <w:pPr>
              <w:spacing w:after="0"/>
              <w:rPr>
                <w:sz w:val="12"/>
                <w:szCs w:val="12"/>
                <w:color w:val="auto"/>
              </w:rPr>
            </w:pPr>
          </w:p>
        </w:tc>
        <w:tc>
          <w:tcPr>
            <w:tcW w:w="1420" w:type="dxa"/>
            <w:vAlign w:val="bottom"/>
            <w:gridSpan w:val="2"/>
            <w:vMerge w:val="restart"/>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332.4</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1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Hasbro, Inc.</w:t>
            </w: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840" w:type="dxa"/>
            <w:vAlign w:val="bottom"/>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Net loss attributable to</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vMerge w:val="restart"/>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98"/>
        </w:trPr>
        <w:tc>
          <w:tcPr>
            <w:tcW w:w="1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noncontrolling interests</w:t>
            </w: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420" w:type="dxa"/>
            <w:vAlign w:val="bottom"/>
            <w:gridSpan w:val="2"/>
            <w:vMerge w:val="continue"/>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Change in put option value</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1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(89.6)</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(89.6)</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9"/>
        </w:trPr>
        <w:tc>
          <w:tcPr>
            <w:tcW w:w="184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Stock-based compensation</w:t>
            </w:r>
          </w:p>
        </w:tc>
        <w:tc>
          <w:tcPr>
            <w:tcW w:w="10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100" w:type="dxa"/>
            <w:vAlign w:val="bottom"/>
          </w:tcPr>
          <w:p>
            <w:pPr>
              <w:spacing w:after="0"/>
              <w:rPr>
                <w:sz w:val="12"/>
                <w:szCs w:val="12"/>
                <w:color w:val="auto"/>
              </w:rPr>
            </w:pP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vMerge w:val="restart"/>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100" w:type="dxa"/>
            <w:vAlign w:val="bottom"/>
          </w:tcPr>
          <w:p>
            <w:pPr>
              <w:spacing w:after="0"/>
              <w:rPr>
                <w:sz w:val="12"/>
                <w:szCs w:val="12"/>
                <w:color w:val="auto"/>
              </w:rPr>
            </w:pPr>
          </w:p>
        </w:tc>
        <w:tc>
          <w:tcPr>
            <w:tcW w:w="13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53.1</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1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transactions</w:t>
            </w: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Purchases of common stock</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9"/>
        </w:trPr>
        <w:tc>
          <w:tcPr>
            <w:tcW w:w="184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Stock-based compensation</w:t>
            </w:r>
          </w:p>
        </w:tc>
        <w:tc>
          <w:tcPr>
            <w:tcW w:w="10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65.8</w:t>
            </w:r>
          </w:p>
        </w:tc>
        <w:tc>
          <w:tcPr>
            <w:tcW w:w="100" w:type="dxa"/>
            <w:vAlign w:val="bottom"/>
          </w:tcPr>
          <w:p>
            <w:pPr>
              <w:spacing w:after="0"/>
              <w:rPr>
                <w:sz w:val="12"/>
                <w:szCs w:val="12"/>
                <w:color w:val="auto"/>
              </w:rPr>
            </w:pP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vMerge w:val="restart"/>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12"/>
                <w:szCs w:val="12"/>
                <w:color w:val="auto"/>
              </w:rPr>
            </w:pPr>
          </w:p>
        </w:tc>
        <w:tc>
          <w:tcPr>
            <w:tcW w:w="13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66.3</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1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expense</w:t>
            </w: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Dividends declared</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(292.4)</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(291.2)</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9"/>
        </w:trPr>
        <w:tc>
          <w:tcPr>
            <w:tcW w:w="184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Distributions paid to</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noncontrolling owners and</w:t>
            </w:r>
          </w:p>
        </w:tc>
        <w:tc>
          <w:tcPr>
            <w:tcW w:w="10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vMerge w:val="restart"/>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93"/>
        </w:trPr>
        <w:tc>
          <w:tcPr>
            <w:tcW w:w="1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foreign exchange</w:t>
            </w: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840" w:type="dxa"/>
            <w:vAlign w:val="bottom"/>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Buyout of redeemable</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vMerge w:val="restart"/>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0" w:type="dxa"/>
            <w:vAlign w:val="bottom"/>
          </w:tcPr>
          <w:p>
            <w:pPr>
              <w:spacing w:after="0"/>
              <w:rPr>
                <w:sz w:val="1"/>
                <w:szCs w:val="1"/>
                <w:color w:val="auto"/>
              </w:rPr>
            </w:pPr>
          </w:p>
        </w:tc>
      </w:tr>
      <w:tr>
        <w:trPr>
          <w:trHeight w:val="193"/>
        </w:trPr>
        <w:tc>
          <w:tcPr>
            <w:tcW w:w="1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noncontrolling interest</w:t>
            </w:r>
          </w:p>
        </w:tc>
        <w:tc>
          <w:tcPr>
            <w:tcW w:w="100" w:type="dxa"/>
            <w:vAlign w:val="bottom"/>
            <w:vMerge w:val="continue"/>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420" w:type="dxa"/>
            <w:vAlign w:val="bottom"/>
            <w:gridSpan w:val="2"/>
            <w:vMerge w:val="continue"/>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300" w:type="dxa"/>
            <w:vAlign w:val="bottom"/>
            <w:gridSpan w:val="2"/>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1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September 25, 2022</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110.1</w:t>
            </w:r>
          </w:p>
        </w:tc>
        <w:tc>
          <w:tcPr>
            <w:tcW w:w="10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2,530.1</w:t>
            </w:r>
          </w:p>
        </w:tc>
        <w:tc>
          <w:tcPr>
            <w:tcW w:w="100" w:type="dxa"/>
            <w:vAlign w:val="bottom"/>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4,297.8</w:t>
            </w:r>
          </w:p>
        </w:tc>
        <w:tc>
          <w:tcPr>
            <w:tcW w:w="100" w:type="dxa"/>
            <w:vAlign w:val="bottom"/>
          </w:tcPr>
          <w:p>
            <w:pPr>
              <w:spacing w:after="0"/>
              <w:rPr>
                <w:sz w:val="20"/>
                <w:szCs w:val="20"/>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(324.9)</w:t>
            </w:r>
          </w:p>
        </w:tc>
        <w:tc>
          <w:tcPr>
            <w:tcW w:w="120" w:type="dxa"/>
            <w:vAlign w:val="bottom"/>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(3,637.1)</w:t>
            </w:r>
          </w:p>
        </w:tc>
        <w:tc>
          <w:tcPr>
            <w:tcW w:w="100" w:type="dxa"/>
            <w:vAlign w:val="bottom"/>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2,999.0</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16"/>
        </w:trPr>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ind w:left="600"/>
              <w:spacing w:after="0"/>
              <w:rPr>
                <w:sz w:val="20"/>
                <w:szCs w:val="20"/>
                <w:color w:val="auto"/>
              </w:rPr>
            </w:pPr>
            <w:r>
              <w:rPr>
                <w:rFonts w:ascii="Times New Roman" w:cs="Times New Roman" w:eastAsia="Times New Roman" w:hAnsi="Times New Roman"/>
                <w:sz w:val="14"/>
                <w:szCs w:val="14"/>
                <w:b w:val="1"/>
                <w:bCs w:val="1"/>
                <w:color w:val="auto"/>
              </w:rPr>
              <w:t>Nine Months Ended September 26, 2021</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w w:val="99"/>
              </w:rPr>
              <w:t>Common</w:t>
            </w:r>
          </w:p>
        </w:tc>
        <w:tc>
          <w:tcPr>
            <w:tcW w:w="10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Additional</w:t>
            </w:r>
          </w:p>
        </w:tc>
        <w:tc>
          <w:tcPr>
            <w:tcW w:w="11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color w:val="auto"/>
              </w:rPr>
              <w:t>Retained</w:t>
            </w:r>
          </w:p>
        </w:tc>
        <w:tc>
          <w:tcPr>
            <w:tcW w:w="14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Accumulated Other</w:t>
            </w:r>
          </w:p>
        </w:tc>
        <w:tc>
          <w:tcPr>
            <w:tcW w:w="11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Treasury</w:t>
            </w:r>
          </w:p>
        </w:tc>
        <w:tc>
          <w:tcPr>
            <w:tcW w:w="13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Noncontrolling</w:t>
            </w:r>
          </w:p>
        </w:tc>
        <w:tc>
          <w:tcPr>
            <w:tcW w:w="120" w:type="dxa"/>
            <w:vAlign w:val="bottom"/>
          </w:tcPr>
          <w:p>
            <w:pPr>
              <w:spacing w:after="0"/>
              <w:rPr>
                <w:sz w:val="11"/>
                <w:szCs w:val="11"/>
                <w:color w:val="auto"/>
              </w:rPr>
            </w:pPr>
          </w:p>
        </w:tc>
        <w:tc>
          <w:tcPr>
            <w:tcW w:w="1100" w:type="dxa"/>
            <w:vAlign w:val="bottom"/>
            <w:tcBorders>
              <w:right w:val="single" w:sz="8" w:color="auto"/>
            </w:tcBorders>
            <w:gridSpan w:val="2"/>
          </w:tcPr>
          <w:p>
            <w:pPr>
              <w:jc w:val="center"/>
              <w:ind w:right="240"/>
              <w:spacing w:after="0" w:line="133" w:lineRule="exact"/>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center"/>
              <w:ind w:right="48"/>
              <w:spacing w:after="0" w:line="133" w:lineRule="exact"/>
              <w:rPr>
                <w:sz w:val="20"/>
                <w:szCs w:val="20"/>
                <w:color w:val="auto"/>
              </w:rPr>
            </w:pPr>
            <w:r>
              <w:rPr>
                <w:rFonts w:ascii="Times New Roman" w:cs="Times New Roman" w:eastAsia="Times New Roman" w:hAnsi="Times New Roman"/>
                <w:sz w:val="14"/>
                <w:szCs w:val="14"/>
                <w:color w:val="auto"/>
              </w:rPr>
              <w:t>Redeemable</w:t>
            </w:r>
          </w:p>
        </w:tc>
        <w:tc>
          <w:tcPr>
            <w:tcW w:w="0" w:type="dxa"/>
            <w:vAlign w:val="bottom"/>
          </w:tcPr>
          <w:p>
            <w:pPr>
              <w:spacing w:after="0"/>
              <w:rPr>
                <w:sz w:val="1"/>
                <w:szCs w:val="1"/>
                <w:color w:val="auto"/>
              </w:rPr>
            </w:pPr>
          </w:p>
        </w:tc>
      </w:tr>
      <w:tr>
        <w:trPr>
          <w:trHeight w:val="148"/>
        </w:trPr>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Borders>
              <w:right w:val="single" w:sz="8" w:color="auto"/>
            </w:tcBorders>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Shareholders'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color w:val="auto"/>
              </w:rPr>
              <w:t>Noncontrolling</w:t>
            </w:r>
          </w:p>
        </w:tc>
        <w:tc>
          <w:tcPr>
            <w:tcW w:w="0" w:type="dxa"/>
            <w:vAlign w:val="bottom"/>
          </w:tcPr>
          <w:p>
            <w:pPr>
              <w:spacing w:after="0"/>
              <w:rPr>
                <w:sz w:val="1"/>
                <w:szCs w:val="1"/>
                <w:color w:val="auto"/>
              </w:rPr>
            </w:pPr>
          </w:p>
        </w:tc>
      </w:tr>
      <w:tr>
        <w:trPr>
          <w:trHeight w:val="193"/>
        </w:trPr>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Stock</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Paid-in Capital</w:t>
            </w:r>
          </w:p>
        </w:tc>
        <w:tc>
          <w:tcPr>
            <w:tcW w:w="11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Earnings</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Comprehensive Loss</w:t>
            </w: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Stock</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Interests</w:t>
            </w:r>
          </w:p>
        </w:tc>
        <w:tc>
          <w:tcPr>
            <w:tcW w:w="120" w:type="dxa"/>
            <w:vAlign w:val="bottom"/>
          </w:tcPr>
          <w:p>
            <w:pPr>
              <w:spacing w:after="0"/>
              <w:rPr>
                <w:sz w:val="16"/>
                <w:szCs w:val="16"/>
                <w:color w:val="auto"/>
              </w:rPr>
            </w:pPr>
          </w:p>
        </w:tc>
        <w:tc>
          <w:tcPr>
            <w:tcW w:w="110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Equity</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Interests</w:t>
            </w:r>
          </w:p>
        </w:tc>
        <w:tc>
          <w:tcPr>
            <w:tcW w:w="0" w:type="dxa"/>
            <w:vAlign w:val="bottom"/>
          </w:tcPr>
          <w:p>
            <w:pPr>
              <w:spacing w:after="0"/>
              <w:rPr>
                <w:sz w:val="1"/>
                <w:szCs w:val="1"/>
                <w:color w:val="auto"/>
              </w:rPr>
            </w:pPr>
          </w:p>
        </w:tc>
      </w:tr>
      <w:tr>
        <w:trPr>
          <w:trHeight w:val="201"/>
        </w:trPr>
        <w:tc>
          <w:tcPr>
            <w:tcW w:w="1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27, 2020</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110.1</w:t>
            </w: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2,329.1</w:t>
            </w: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4,204.2</w:t>
            </w: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(195.0)</w:t>
            </w:r>
          </w:p>
        </w:tc>
        <w:tc>
          <w:tcPr>
            <w:tcW w:w="1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(3,551.7)</w:t>
            </w:r>
          </w:p>
        </w:tc>
        <w:tc>
          <w:tcPr>
            <w:tcW w:w="1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2,936.7</w:t>
            </w: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0" w:type="dxa"/>
            <w:vAlign w:val="bottom"/>
          </w:tcPr>
          <w:p>
            <w:pPr>
              <w:spacing w:after="0"/>
              <w:rPr>
                <w:sz w:val="1"/>
                <w:szCs w:val="1"/>
                <w:color w:val="auto"/>
              </w:rPr>
            </w:pPr>
          </w:p>
        </w:tc>
      </w:tr>
      <w:tr>
        <w:trPr>
          <w:trHeight w:val="139"/>
        </w:trPr>
        <w:tc>
          <w:tcPr>
            <w:tcW w:w="1840" w:type="dxa"/>
            <w:vAlign w:val="bottom"/>
          </w:tcPr>
          <w:p>
            <w:pPr>
              <w:ind w:left="220"/>
              <w:spacing w:after="0" w:line="139" w:lineRule="exact"/>
              <w:rPr>
                <w:sz w:val="20"/>
                <w:szCs w:val="20"/>
                <w:color w:val="auto"/>
              </w:rPr>
            </w:pPr>
            <w:r>
              <w:rPr>
                <w:rFonts w:ascii="Times New Roman" w:cs="Times New Roman" w:eastAsia="Times New Roman" w:hAnsi="Times New Roman"/>
                <w:sz w:val="14"/>
                <w:szCs w:val="14"/>
                <w:color w:val="auto"/>
              </w:rPr>
              <w:t>Net earnings attributable to</w:t>
            </w:r>
          </w:p>
        </w:tc>
        <w:tc>
          <w:tcPr>
            <w:tcW w:w="10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346.5</w:t>
            </w:r>
          </w:p>
        </w:tc>
        <w:tc>
          <w:tcPr>
            <w:tcW w:w="100" w:type="dxa"/>
            <w:vAlign w:val="bottom"/>
          </w:tcPr>
          <w:p>
            <w:pPr>
              <w:spacing w:after="0"/>
              <w:rPr>
                <w:sz w:val="12"/>
                <w:szCs w:val="12"/>
                <w:color w:val="auto"/>
              </w:rPr>
            </w:pPr>
          </w:p>
        </w:tc>
        <w:tc>
          <w:tcPr>
            <w:tcW w:w="1420" w:type="dxa"/>
            <w:vAlign w:val="bottom"/>
            <w:gridSpan w:val="2"/>
            <w:vMerge w:val="restart"/>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346.5</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18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Hasbro, Inc.</w:t>
            </w: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840" w:type="dxa"/>
            <w:vAlign w:val="bottom"/>
            <w:shd w:val="clear" w:color="auto" w:fill="CCEEFF"/>
          </w:tcPr>
          <w:p>
            <w:pPr>
              <w:ind w:left="220"/>
              <w:spacing w:after="0" w:line="145" w:lineRule="exact"/>
              <w:rPr>
                <w:sz w:val="20"/>
                <w:szCs w:val="20"/>
                <w:color w:val="auto"/>
              </w:rPr>
            </w:pPr>
            <w:r>
              <w:rPr>
                <w:rFonts w:ascii="Times New Roman" w:cs="Times New Roman" w:eastAsia="Times New Roman" w:hAnsi="Times New Roman"/>
                <w:sz w:val="14"/>
                <w:szCs w:val="14"/>
                <w:color w:val="auto"/>
              </w:rPr>
              <w:t>Net earnings attributable to</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vMerge w:val="restart"/>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98"/>
        </w:trPr>
        <w:tc>
          <w:tcPr>
            <w:tcW w:w="1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420" w:type="dxa"/>
            <w:vAlign w:val="bottom"/>
            <w:gridSpan w:val="2"/>
            <w:vMerge w:val="continue"/>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8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12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6"/>
        </w:trPr>
        <w:tc>
          <w:tcPr>
            <w:tcW w:w="1840" w:type="dxa"/>
            <w:vAlign w:val="bottom"/>
            <w:shd w:val="clear" w:color="auto" w:fill="CCEEFF"/>
          </w:tcPr>
          <w:p>
            <w:pPr>
              <w:ind w:left="220"/>
              <w:spacing w:after="0" w:line="147" w:lineRule="exact"/>
              <w:rPr>
                <w:sz w:val="20"/>
                <w:szCs w:val="20"/>
                <w:color w:val="auto"/>
              </w:rPr>
            </w:pPr>
            <w:r>
              <w:rPr>
                <w:rFonts w:ascii="Times New Roman" w:cs="Times New Roman" w:eastAsia="Times New Roman" w:hAnsi="Times New Roman"/>
                <w:sz w:val="14"/>
                <w:szCs w:val="14"/>
                <w:color w:val="auto"/>
              </w:rPr>
              <w:t>Stock-based compensation</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vMerge w:val="restart"/>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shd w:val="clear" w:color="auto" w:fill="CCEEFF"/>
          </w:tcPr>
          <w:p>
            <w:pPr>
              <w:spacing w:after="0"/>
              <w:rPr>
                <w:sz w:val="12"/>
                <w:szCs w:val="12"/>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1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transactions</w:t>
            </w: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420" w:type="dxa"/>
            <w:vAlign w:val="bottom"/>
            <w:gridSpan w:val="2"/>
            <w:vMerge w:val="continue"/>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840" w:type="dxa"/>
            <w:vAlign w:val="bottom"/>
          </w:tcPr>
          <w:p>
            <w:pPr>
              <w:ind w:left="220"/>
              <w:spacing w:after="0" w:line="139" w:lineRule="exact"/>
              <w:rPr>
                <w:sz w:val="20"/>
                <w:szCs w:val="20"/>
                <w:color w:val="auto"/>
              </w:rPr>
            </w:pPr>
            <w:r>
              <w:rPr>
                <w:rFonts w:ascii="Times New Roman" w:cs="Times New Roman" w:eastAsia="Times New Roman" w:hAnsi="Times New Roman"/>
                <w:sz w:val="14"/>
                <w:szCs w:val="14"/>
                <w:color w:val="auto"/>
              </w:rPr>
              <w:t>Stock-based compensation</w:t>
            </w:r>
          </w:p>
        </w:tc>
        <w:tc>
          <w:tcPr>
            <w:tcW w:w="10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55.1</w:t>
            </w:r>
          </w:p>
        </w:tc>
        <w:tc>
          <w:tcPr>
            <w:tcW w:w="100" w:type="dxa"/>
            <w:vAlign w:val="bottom"/>
          </w:tcPr>
          <w:p>
            <w:pPr>
              <w:spacing w:after="0"/>
              <w:rPr>
                <w:sz w:val="12"/>
                <w:szCs w:val="12"/>
                <w:color w:val="auto"/>
              </w:rPr>
            </w:pP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vMerge w:val="restart"/>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2"/>
                <w:szCs w:val="12"/>
                <w:color w:val="auto"/>
              </w:rPr>
            </w:pPr>
          </w:p>
        </w:tc>
        <w:tc>
          <w:tcPr>
            <w:tcW w:w="13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56.2</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18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expense</w:t>
            </w: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Dividends declared</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(281.1)</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(281.1)</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9"/>
        </w:trPr>
        <w:tc>
          <w:tcPr>
            <w:tcW w:w="1840" w:type="dxa"/>
            <w:vAlign w:val="bottom"/>
          </w:tcPr>
          <w:p>
            <w:pPr>
              <w:ind w:left="220"/>
              <w:spacing w:after="0" w:line="139" w:lineRule="exact"/>
              <w:rPr>
                <w:sz w:val="20"/>
                <w:szCs w:val="20"/>
                <w:color w:val="auto"/>
              </w:rPr>
            </w:pPr>
            <w:r>
              <w:rPr>
                <w:rFonts w:ascii="Times New Roman" w:cs="Times New Roman" w:eastAsia="Times New Roman" w:hAnsi="Times New Roman"/>
                <w:sz w:val="14"/>
                <w:szCs w:val="14"/>
                <w:color w:val="auto"/>
              </w:rPr>
              <w:t>Distributions paid to</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noncontrolling owners and</w:t>
            </w:r>
          </w:p>
        </w:tc>
        <w:tc>
          <w:tcPr>
            <w:tcW w:w="10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12"/>
                <w:szCs w:val="12"/>
                <w:color w:val="auto"/>
              </w:rPr>
            </w:pP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vMerge w:val="restart"/>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93"/>
        </w:trPr>
        <w:tc>
          <w:tcPr>
            <w:tcW w:w="18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 foreign exchange</w:t>
            </w: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1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September 26, 2021</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2,388.9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4,269.6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(3,541.0)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3,057.2</w:t>
            </w:r>
          </w:p>
        </w:tc>
        <w:tc>
          <w:tcPr>
            <w:tcW w:w="120" w:type="dxa"/>
            <w:vAlign w:val="bottom"/>
            <w:tcBorders>
              <w:top w:val="single" w:sz="8" w:color="CCEEFF"/>
              <w:bottom w:val="single" w:sz="8" w:color="CCEEFF"/>
              <w:right w:val="single" w:sz="8" w:color="auto"/>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3"/>
        </w:trPr>
        <w:tc>
          <w:tcPr>
            <w:tcW w:w="1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HASBRO, INC. AND SUBSIDIARIES</w:t>
      </w:r>
    </w:p>
    <w:p>
      <w:pPr>
        <w:spacing w:after="0" w:line="63"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63"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(Millions of Dollars and Shares Except Per Share Data)</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5" w:lineRule="exact"/>
        <w:rPr>
          <w:sz w:val="20"/>
          <w:szCs w:val="20"/>
          <w:color w:val="auto"/>
        </w:rPr>
      </w:pPr>
    </w:p>
    <w:p>
      <w:pPr>
        <w:ind w:left="260" w:hanging="252"/>
        <w:spacing w:after="0"/>
        <w:tabs>
          <w:tab w:leader="none" w:pos="2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Basis of Presentation</w:t>
      </w:r>
    </w:p>
    <w:p>
      <w:pPr>
        <w:spacing w:after="0" w:line="202"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In the opinion of management, the accompanying unaudited interim consolidated financial statements contain all normal and recurring adjustments necessary to present fairly the consolidated financial position of Hasbro, Inc. and all majority-owned subsidiaries ("Hasbro" or the "Company") as of September 25, 2022 and September 26, 2021, and the results of its operations and cash flows and shareholders' equity for the periods then ended in accordance with accounting principles generally accepted in the United States of America ("U.S. GAAP"). The preparation of consolidated financial statements in conformity with U.S. GAAP requires management to make estimates and assumptions that affect the amounts reported in the consolidated financial statements and notes thereto. Actual results could differ from those estimates.</w:t>
      </w:r>
    </w:p>
    <w:p>
      <w:pPr>
        <w:spacing w:after="0" w:line="147"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quarters ended September 25, 2022 and September 26, 2021 were each 13-week periods. The nine-month periods ended September 25, 2022 and September 26, 2021 were each 39-week periods.</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results of operations for the quarter ended September 25, 2022 are not necessarily indicative of results to be expected for the full year 2022, nor were those of the comparable 2021 period representative of those actually experienced for the full year 2021.</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Accounting Policies</w:t>
      </w:r>
    </w:p>
    <w:p>
      <w:pPr>
        <w:spacing w:after="0" w:line="11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Company's significant accounting policies are summarized in note 1 to the consolidated financial statements included in the Company's Annual Report on Form 10-K for the year ended December 26, 2021 ("2021 Form 10-K").</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Blueprint 2.0 and Operational Excellence</w:t>
      </w:r>
    </w:p>
    <w:p>
      <w:pPr>
        <w:spacing w:after="0" w:line="11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On October 4, 2022, following a nine-month strategic review, the Company announced a new go-forward strategic plan guided by our new Blueprint 2.0, a framework for bringing compelling and expansive brand experiences to audiences around the world. During the review, the Company identified opportunities to focus and scale its business, enhance operational excellence, including through organizational and supply chain programs, and drive high-margin growth and profit. The Company plans to focus investment in its most valuable and profitable franchises across toys, games, entertainment and licensing, and to exit certain non-core aspects of the business. Under this plan, a pre-tax charge of $55.3 million was recorded in the third quarter of 2022 associated with the program, comprised of a loss on assets held for sale of $23.1 million, severance and other employee charges of $21.3 million, consulting fees of $7.2 million and asset impairments of $3.7 million. The impairment losses related to the exit of certain non-core businesses were recorded within the Entertainment segment and the severance and other employee charges and the consulting fees were recorded within the Corporate and Other segment. The businesses to be exited do not constitute a material part of the Company's operations. </w:t>
      </w:r>
      <w:r>
        <w:rPr>
          <w:rFonts w:ascii="Times New Roman" w:cs="Times New Roman" w:eastAsia="Times New Roman" w:hAnsi="Times New Roman"/>
          <w:sz w:val="18"/>
          <w:szCs w:val="18"/>
          <w:color w:val="212529"/>
        </w:rPr>
        <w:t>See Note 4 and Item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212529"/>
        </w:rPr>
        <w:t>Management's Discussion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212529"/>
        </w:rPr>
        <w:t xml:space="preserve">and Analysis </w:t>
      </w:r>
      <w:r>
        <w:rPr>
          <w:rFonts w:ascii="Times New Roman" w:cs="Times New Roman" w:eastAsia="Times New Roman" w:hAnsi="Times New Roman"/>
          <w:sz w:val="18"/>
          <w:szCs w:val="18"/>
          <w:color w:val="212529"/>
        </w:rPr>
        <w:t>in this Form 10-Q for further information.</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D&amp;D Beyond Acquisition</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May 19, 2022, the Company acquired D&amp;D Beyond, a strategic, complementary acquisition of the premier digital content platform for DUNGEONS &amp; DRAGONS, which is expected to substantially accelerate our direct-to-fans capability for DUNGEONS &amp; DRAGONS in physical and digital play. The all-cash transaction in the amount of $146.3 million was funded with cash on hand. The allocation of assets acquired includes $81.4 million to intangible assets, $64.7 million to goodwill, with the remainder allocated to property, plant, and equipment.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12529"/>
        </w:rPr>
        <w:t>eOne Music Sale</w:t>
      </w:r>
    </w:p>
    <w:p>
      <w:pPr>
        <w:spacing w:after="0" w:line="11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On June 29, 2021, the Company completed the sale of its Entertainment One music business ("eOne Music") for net proceeds of $397.0 million, including the sales price of $385.0 million and $12.0 million of closing adjustments related to working capital and net debt calculations. The final proceeds were subject to further adjustment upon completion of closing working capital, which resulted in a net outflow of $0.9 million in the fourth quarter of 2021. Based on the value of the net assets held by eOne Music, which included goodwill and intangible assets allocated to eOne Music as part of the Company’s acquisition of Entertainment One in December 2019 (the “eOne Acquisition"), the Company recorded a pre-tax non-cash goodwill impairment charge of $101.8 million within Loss on Disposal of Business on the consolidated statements of operations for the nine ended September 26, 2021. The Company also recorded pre-tax cash transaction expenses of $9.5 million within Selling, Distribution and Administration expenses on the consolidated statements of operations for the second quarter of 2021.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540385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10" w:name="page11"/>
    <w:bookmarkEnd w:id="10"/>
    <w:p>
      <w:pPr>
        <w:ind w:left="350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(Millions of Dollars and Shares Except Per Share Data)</w:t>
      </w:r>
    </w:p>
    <w:p>
      <w:pPr>
        <w:spacing w:after="0" w:line="200" w:lineRule="exact"/>
        <w:rPr>
          <w:sz w:val="20"/>
          <w:szCs w:val="20"/>
          <w:color w:val="auto"/>
        </w:rPr>
      </w:pPr>
    </w:p>
    <w:p>
      <w:pPr>
        <w:spacing w:after="0" w:line="27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impairment charge was recorded within the Entertainment segment and the transaction costs were recorded within the Corporate and Other segment. Fiscal year 2021 includes two quarters of financial results for the eOne Music Business.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Equivalent Units</w:t>
      </w:r>
    </w:p>
    <w:p>
      <w:pPr>
        <w:spacing w:after="0" w:line="106"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Beginning with employee stock incentive awards granted in 2022, the payment of cash dividends to shareholders also results in the crediting of Dividend Equivalent Units (“DEUs”) to holders of restricted stock units ("RSUs") and contingent stock performance awards ("PSUs") granted under the Company's Restated 2003 Stock Incentive Plan, as amended, for employees as defined and described in Note 15 in the Company's Annual Report on Form 10-K for the year ended December 26, 2021. The DEUs will be credited as additional RSUs or PSUs and settled concurrently with the vesting of associated awards. DEUs are forfeited in the event the underlying RSUs or PSU's do not vest. The dividend equivalent value of forfeitable DEUs is treated as a reduction of retained earnings or, if the Company is in a retained deficit position, as a reduction of additional paid-in capital.</w:t>
      </w:r>
    </w:p>
    <w:p>
      <w:pPr>
        <w:spacing w:after="0" w:line="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These consolidated financial statements have been prepared without audit, pursuant to the rules and regulations of the Securities and Exchange Commission ("SEC"). Certain information and disclosures normally included in the consolidated financial statements prepared in accordance with U.S. GAAP have been condensed or omitted pursuant to such rules and regulations. The Company filed with the SEC audited consolidated financial statements for the fiscal year ended December 26, 2021 in its 2021 Form 10-K, which includes all such information and disclosures and, accordingly, should be read in conjunction with the financial information included herein.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Recently Adopted Accounting Standards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25, 2022, there were no recently adopted accounting standards that had a material effect on the Company’s financial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Issued Accounting Pronouncements</w:t>
      </w:r>
    </w:p>
    <w:p>
      <w:pPr>
        <w:spacing w:after="0" w:line="200"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 xml:space="preserve">In March of 2020, the FASB issued Accounting Standards Update No. 2020-04 (ASU 2020-04) Reference Rate Reform (Topic 848): </w:t>
      </w:r>
      <w:r>
        <w:rPr>
          <w:rFonts w:ascii="Times New Roman" w:cs="Times New Roman" w:eastAsia="Times New Roman" w:hAnsi="Times New Roman"/>
          <w:sz w:val="18"/>
          <w:szCs w:val="18"/>
          <w:i w:val="1"/>
          <w:iCs w:val="1"/>
          <w:color w:val="auto"/>
        </w:rPr>
        <w:t>Facilitation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Effects of Reference Rate Reform on Financial Reporting. </w:t>
      </w:r>
      <w:r>
        <w:rPr>
          <w:rFonts w:ascii="Times New Roman" w:cs="Times New Roman" w:eastAsia="Times New Roman" w:hAnsi="Times New Roman"/>
          <w:sz w:val="18"/>
          <w:szCs w:val="18"/>
          <w:color w:val="auto"/>
        </w:rPr>
        <w:t>The amendments in this update provide optional expedients and exceptions for applying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GAAP to contracts, hedging relationships, and other transactions, for a limited period of time, to ease the potential burden of recognizing the effects of reference rate reform on financial reporting. The amendments in this update apply to contracts, hedging relationships and other transactions that reference the London Inter-Bank Offered Rate ("LIBOR") or another reference rate expected to be discontinued due to the global transition away from LIBOR and certain other interbank offered rates. An entity may elect to apply the amendments provided by this update beginning March 12, 2020 through December 31, 2022. The change from LIBOR to an alternate rate has not had a material impact on the Company's consolidated financial statements.</w:t>
      </w:r>
    </w:p>
    <w:p>
      <w:pPr>
        <w:spacing w:after="0" w:line="140" w:lineRule="exact"/>
        <w:rPr>
          <w:sz w:val="20"/>
          <w:szCs w:val="20"/>
          <w:color w:val="auto"/>
        </w:rPr>
      </w:pPr>
    </w:p>
    <w:p>
      <w:pPr>
        <w:ind w:left="260" w:hanging="252"/>
        <w:spacing w:after="0"/>
        <w:tabs>
          <w:tab w:leader="none" w:pos="2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Revenue Recognition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Contract Assets and Liabilities</w:t>
      </w:r>
    </w:p>
    <w:p>
      <w:pPr>
        <w:spacing w:after="0" w:line="20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the ordinary course of business, the Company’s Consumer Products, Wizards of the Coast and Digital Gaming and Entertainment segments enter into contracts to license certain of the Company’s intellectual property, providing licensees right-to-use or access such intellectual property for use in the production and sale of consumer products and digital game development, and for use within content for distribution over streaming platforms and for television and film. The Company also licenses owned television and film content for distribution to third parties in formats that include broadcast, digital streaming and theatrical. Through these arrangements, the Company may receive advanced royalty payments from licensees, either in advance of a licensees’ subsequent sales to customers or, prior to the completion of the Company’s performance obligation. In addition, the Company’s Wizards of the Coast and Digital Gaming segment may receive advanced payments from end users of its digital games at the time of the initial purchase or through in-application purchases. These digital gaming revenues are recognized over a period of time, determined based on player usage patterns or the estimated playing life of the user or when additional downloadable content is made available. The Company defers revenues on all licensee and digital gaming advanced payments until the respective performance obligations are satisfied. The Company records the aggregate deferred revenues as contract liabilities, with the current portion recorded within Accrued Liabilities and the long-term portion recorded as Other Non-current Liabilities in the Company’s consolidated balance sheets. The Company records contract assets in the case of (1) minimum guarantees being recognized in advance of contractual invoicing, which are recognized ratably over the terms of the respective license periods, and (2) film and television distribution revenues recorded for content delivered, where payment will occur over the license term. The current portion of contract assets is recorded in Prepaid Expenses and Other Current Assets, respectively, and the long-term portion is recorded within Other Long-Term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543560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1" w:name="page12"/>
    <w:bookmarkEnd w:id="11"/>
    <w:p>
      <w:pPr>
        <w:ind w:left="350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(Millions of Dollars and Shares Except Per Share Data)</w:t>
      </w:r>
    </w:p>
    <w:p>
      <w:pPr>
        <w:spacing w:after="0" w:line="200" w:lineRule="exact"/>
        <w:rPr>
          <w:sz w:val="20"/>
          <w:szCs w:val="20"/>
          <w:color w:val="auto"/>
        </w:rPr>
      </w:pPr>
    </w:p>
    <w:p>
      <w:pPr>
        <w:spacing w:after="0" w:line="32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At September 25, 2022, September 26, 2021 and December 26, 2021 the Company had the following contract assets and liabilities in its consolidated balance sheets: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September 25, 2022</w:t>
            </w:r>
          </w:p>
        </w:tc>
        <w:tc>
          <w:tcPr>
            <w:tcW w:w="220" w:type="dxa"/>
            <w:vAlign w:val="bottom"/>
          </w:tcPr>
          <w:p>
            <w:pPr>
              <w:spacing w:after="0"/>
              <w:rPr>
                <w:sz w:val="20"/>
                <w:szCs w:val="20"/>
                <w:color w:val="auto"/>
              </w:rPr>
            </w:pPr>
          </w:p>
        </w:tc>
        <w:tc>
          <w:tcPr>
            <w:tcW w:w="20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September 26, 2021</w:t>
            </w:r>
          </w:p>
        </w:tc>
        <w:tc>
          <w:tcPr>
            <w:tcW w:w="240" w:type="dxa"/>
            <w:vAlign w:val="bottom"/>
          </w:tcPr>
          <w:p>
            <w:pPr>
              <w:spacing w:after="0"/>
              <w:rPr>
                <w:sz w:val="20"/>
                <w:szCs w:val="20"/>
                <w:color w:val="auto"/>
              </w:rPr>
            </w:pPr>
          </w:p>
        </w:tc>
        <w:tc>
          <w:tcPr>
            <w:tcW w:w="19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26, 2021</w:t>
            </w:r>
          </w:p>
        </w:tc>
      </w:tr>
      <w:tr>
        <w:trPr>
          <w:trHeight w:val="169"/>
        </w:trPr>
        <w:tc>
          <w:tcPr>
            <w:tcW w:w="20" w:type="dxa"/>
            <w:vAlign w:val="bottom"/>
            <w:tcBorders>
              <w:top w:val="single" w:sz="8" w:color="CCEEFF"/>
            </w:tcBorders>
            <w:shd w:val="clear" w:color="auto" w:fill="CCEEFF"/>
          </w:tcPr>
          <w:p>
            <w:pPr>
              <w:spacing w:after="0"/>
              <w:rPr>
                <w:sz w:val="14"/>
                <w:szCs w:val="14"/>
                <w:color w:val="auto"/>
              </w:rPr>
            </w:pPr>
          </w:p>
        </w:tc>
        <w:tc>
          <w:tcPr>
            <w:tcW w:w="4500" w:type="dxa"/>
            <w:vAlign w:val="bottom"/>
            <w:tcBorders>
              <w:top w:val="single" w:sz="8" w:color="CCEEFF"/>
            </w:tcBorders>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top w:val="single" w:sz="8" w:color="auto"/>
            </w:tcBorders>
            <w:shd w:val="clear" w:color="auto" w:fill="CCEEFF"/>
          </w:tcPr>
          <w:p>
            <w:pPr>
              <w:spacing w:after="0"/>
              <w:rPr>
                <w:sz w:val="14"/>
                <w:szCs w:val="14"/>
                <w:color w:val="auto"/>
              </w:rPr>
            </w:pPr>
          </w:p>
        </w:tc>
        <w:tc>
          <w:tcPr>
            <w:tcW w:w="19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940" w:type="dxa"/>
            <w:vAlign w:val="bottom"/>
            <w:tcBorders>
              <w:top w:val="single" w:sz="8" w:color="auto"/>
            </w:tcBorders>
            <w:shd w:val="clear" w:color="auto" w:fill="CCEEFF"/>
          </w:tcPr>
          <w:p>
            <w:pPr>
              <w:spacing w:after="0"/>
              <w:rPr>
                <w:sz w:val="14"/>
                <w:szCs w:val="14"/>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7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45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Contract assets - current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361.2</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263.3</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286.9</w:t>
            </w:r>
          </w:p>
        </w:tc>
      </w:tr>
      <w:tr>
        <w:trPr>
          <w:trHeight w:val="230"/>
        </w:trPr>
        <w:tc>
          <w:tcPr>
            <w:tcW w:w="20" w:type="dxa"/>
            <w:vAlign w:val="bottom"/>
            <w:shd w:val="clear" w:color="auto" w:fill="CCEEFF"/>
          </w:tcPr>
          <w:p>
            <w:pPr>
              <w:spacing w:after="0"/>
              <w:rPr>
                <w:sz w:val="19"/>
                <w:szCs w:val="19"/>
                <w:color w:val="auto"/>
              </w:rPr>
            </w:pPr>
          </w:p>
        </w:tc>
        <w:tc>
          <w:tcPr>
            <w:tcW w:w="450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Contract assets - long term</w:t>
            </w:r>
          </w:p>
        </w:tc>
        <w:tc>
          <w:tcPr>
            <w:tcW w:w="22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w:t>
            </w: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518.7</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371.4</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391.1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37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177"/>
        </w:trPr>
        <w:tc>
          <w:tcPr>
            <w:tcW w:w="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auto"/>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w w:val="98"/>
              </w:rPr>
              <w:t>Liabilities</w:t>
            </w:r>
          </w:p>
        </w:tc>
        <w:tc>
          <w:tcPr>
            <w:tcW w:w="37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9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9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940" w:type="dxa"/>
            <w:vAlign w:val="bottom"/>
            <w:tcBorders>
              <w:bottom w:val="single" w:sz="8" w:color="CCEEFF"/>
            </w:tcBorders>
            <w:shd w:val="clear" w:color="auto" w:fill="CCEEFF"/>
          </w:tcPr>
          <w:p>
            <w:pPr>
              <w:spacing w:after="0"/>
              <w:rPr>
                <w:sz w:val="15"/>
                <w:szCs w:val="15"/>
                <w:color w:val="auto"/>
              </w:rPr>
            </w:pPr>
          </w:p>
        </w:tc>
      </w:tr>
      <w:tr>
        <w:trPr>
          <w:trHeight w:val="229"/>
        </w:trPr>
        <w:tc>
          <w:tcPr>
            <w:tcW w:w="20" w:type="dxa"/>
            <w:vAlign w:val="bottom"/>
          </w:tcPr>
          <w:p>
            <w:pPr>
              <w:spacing w:after="0"/>
              <w:rPr>
                <w:sz w:val="19"/>
                <w:szCs w:val="19"/>
                <w:color w:val="auto"/>
              </w:rPr>
            </w:pPr>
          </w:p>
        </w:tc>
        <w:tc>
          <w:tcPr>
            <w:tcW w:w="45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Contract liabilities - current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w:t>
            </w:r>
          </w:p>
        </w:tc>
      </w:tr>
      <w:tr>
        <w:trPr>
          <w:trHeight w:val="229"/>
        </w:trPr>
        <w:tc>
          <w:tcPr>
            <w:tcW w:w="20" w:type="dxa"/>
            <w:vAlign w:val="bottom"/>
            <w:shd w:val="clear" w:color="auto" w:fill="CCEEFF"/>
          </w:tcPr>
          <w:p>
            <w:pPr>
              <w:spacing w:after="0"/>
              <w:rPr>
                <w:sz w:val="19"/>
                <w:szCs w:val="19"/>
                <w:color w:val="auto"/>
              </w:rPr>
            </w:pPr>
          </w:p>
        </w:tc>
        <w:tc>
          <w:tcPr>
            <w:tcW w:w="450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Contract liabilities - long term</w:t>
            </w:r>
          </w:p>
        </w:tc>
        <w:tc>
          <w:tcPr>
            <w:tcW w:w="22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23"/>
        </w:trPr>
        <w:tc>
          <w:tcPr>
            <w:tcW w:w="20" w:type="dxa"/>
            <w:vAlign w:val="bottom"/>
          </w:tcPr>
          <w:p>
            <w:pPr>
              <w:spacing w:after="0"/>
              <w:rPr>
                <w:sz w:val="19"/>
                <w:szCs w:val="19"/>
                <w:color w:val="auto"/>
              </w:rPr>
            </w:pPr>
          </w:p>
        </w:tc>
        <w:tc>
          <w:tcPr>
            <w:tcW w:w="450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121.2</w:t>
            </w:r>
          </w:p>
        </w:tc>
      </w:tr>
      <w:tr>
        <w:trPr>
          <w:trHeight w:val="21"/>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25, 2022, the Company reclassified $469.9 million, including current year activity, from contract assets to accounts receivable, upon completion of contractual performance obligations. In addition, for the nine months ended September 25, 2022, the Company recognized $59.0 million of contract liabilities that were included in the December 26, 2021 balances.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Unsatisfied performance obligations</w:t>
      </w:r>
    </w:p>
    <w:p>
      <w:pPr>
        <w:spacing w:after="0" w:line="11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Unsatisfied performance obligations relate primarily to in-production television content to be delivered in the future under existing agreements with partnering content providers such as broadcasters, distributors, television networks and subscription video on demand services. As of September 25, 2022, unrecognized revenue attributable to unsatisfied performance obligations expected to be recognized in the future were $371.2 million. Of this amount, we expect to recognize $204.7 million in the remainder of 2022, $159.5 million in 2023, $2.5 million in 2024 and $4.5 million in 2025. These amounts include only fixed consideration.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Accounts Receivable and Allowance for Credit Losses</w:t>
      </w:r>
    </w:p>
    <w:p>
      <w:pPr>
        <w:spacing w:after="0" w:line="11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Company’s balance for accounts receivable on the consolidated balance sheets as of September 25, 2022 and September 26, 2021 are primarily from contracts with customers. The Company had no material expense for credit losses for the quarters or nine months ended September 25, 2022 and September 26, 2021.</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Disaggregation of revenues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disaggregates its revenues from contracts with customers by reportable segment: Consumer Products, Wizards of the Coast and Digital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Gaming, and Entertainment. The Company further disaggregates revenues within its Consumer Products segment by major geographic region: North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 Europe, Latin America, and Asia Pacific; within its Wizards of the Coast and Digital Gaming segment by line of business: Tabletop Gaming and</w:t>
      </w:r>
    </w:p>
    <w:p>
      <w:pPr>
        <w:spacing w:after="0" w:line="9" w:lineRule="exact"/>
        <w:rPr>
          <w:sz w:val="20"/>
          <w:szCs w:val="20"/>
          <w:color w:val="auto"/>
        </w:rPr>
      </w:pPr>
    </w:p>
    <w:p>
      <w:pPr>
        <w:ind w:right="360"/>
        <w:spacing w:after="0" w:line="253" w:lineRule="auto"/>
        <w:rPr>
          <w:sz w:val="20"/>
          <w:szCs w:val="20"/>
          <w:color w:val="auto"/>
        </w:rPr>
      </w:pPr>
      <w:r>
        <w:rPr>
          <w:rFonts w:ascii="Times New Roman" w:cs="Times New Roman" w:eastAsia="Times New Roman" w:hAnsi="Times New Roman"/>
          <w:sz w:val="18"/>
          <w:szCs w:val="18"/>
          <w:color w:val="auto"/>
        </w:rPr>
        <w:t>Digital and Licensed Gaming; and within its Entertainment segment by category: Film &amp; TV, Family Brands, and Other. Finally, the Company disaggregates its revenues by brand portfolio into five brand categories: Franchise Brands, Partner Brands, Hasbro Gaming, Emerging Brands, and TV/Film/Entertainment. We believe these collectively depict how the nature, amount, timing and uncertainty of revenue and cash flows are affected by economic factors. See note 13 for further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641985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2" w:name="page13"/>
    <w:bookmarkEnd w:id="12"/>
    <w:p>
      <w:pPr>
        <w:ind w:left="350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(Millions of Dollars and Shares Except Per Share Data)</w:t>
      </w:r>
    </w:p>
    <w:p>
      <w:pPr>
        <w:spacing w:after="0" w:line="200" w:lineRule="exact"/>
        <w:rPr>
          <w:sz w:val="20"/>
          <w:szCs w:val="20"/>
          <w:color w:val="auto"/>
        </w:rPr>
      </w:pPr>
    </w:p>
    <w:p>
      <w:pPr>
        <w:spacing w:after="0" w:line="339" w:lineRule="exact"/>
        <w:rPr>
          <w:sz w:val="20"/>
          <w:szCs w:val="20"/>
          <w:color w:val="auto"/>
        </w:rPr>
      </w:pPr>
    </w:p>
    <w:p>
      <w:pPr>
        <w:ind w:left="260" w:hanging="252"/>
        <w:spacing w:after="0"/>
        <w:tabs>
          <w:tab w:leader="none" w:pos="2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Earnings Per Share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earnings per share data for the quarters and nine months ended September 25, 2022 and September 26, 2021 were computed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2022</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2021</w:t>
            </w:r>
          </w:p>
        </w:tc>
        <w:tc>
          <w:tcPr>
            <w:tcW w:w="940" w:type="dxa"/>
            <w:vAlign w:val="bottom"/>
            <w:tcBorders>
              <w:bottom w:val="single" w:sz="8" w:color="auto"/>
            </w:tcBorders>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552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Quarter</w:t>
            </w:r>
          </w:p>
        </w:tc>
        <w:tc>
          <w:tcPr>
            <w:tcW w:w="240" w:type="dxa"/>
            <w:vAlign w:val="bottom"/>
          </w:tcPr>
          <w:p>
            <w:pPr>
              <w:spacing w:after="0"/>
              <w:rPr>
                <w:sz w:val="15"/>
                <w:szCs w:val="15"/>
                <w:color w:val="auto"/>
              </w:rPr>
            </w:pPr>
          </w:p>
        </w:tc>
        <w:tc>
          <w:tcPr>
            <w:tcW w:w="1240" w:type="dxa"/>
            <w:vAlign w:val="bottom"/>
            <w:gridSpan w:val="3"/>
          </w:tcPr>
          <w:p>
            <w:pPr>
              <w:jc w:val="right"/>
              <w:ind w:right="700"/>
              <w:spacing w:after="0" w:line="182" w:lineRule="exact"/>
              <w:rPr>
                <w:sz w:val="20"/>
                <w:szCs w:val="20"/>
                <w:color w:val="auto"/>
              </w:rPr>
            </w:pPr>
            <w:r>
              <w:rPr>
                <w:rFonts w:ascii="Times New Roman" w:cs="Times New Roman" w:eastAsia="Times New Roman" w:hAnsi="Times New Roman"/>
                <w:sz w:val="18"/>
                <w:szCs w:val="18"/>
                <w:b w:val="1"/>
                <w:bCs w:val="1"/>
                <w:color w:val="auto"/>
              </w:rPr>
              <w:t>Basic</w:t>
            </w:r>
          </w:p>
        </w:tc>
        <w:tc>
          <w:tcPr>
            <w:tcW w:w="940" w:type="dxa"/>
            <w:vAlign w:val="bottom"/>
          </w:tcPr>
          <w:p>
            <w:pPr>
              <w:jc w:val="right"/>
              <w:ind w:right="190"/>
              <w:spacing w:after="0" w:line="182" w:lineRule="exact"/>
              <w:rPr>
                <w:sz w:val="20"/>
                <w:szCs w:val="20"/>
                <w:color w:val="auto"/>
              </w:rPr>
            </w:pPr>
            <w:r>
              <w:rPr>
                <w:rFonts w:ascii="Times New Roman" w:cs="Times New Roman" w:eastAsia="Times New Roman" w:hAnsi="Times New Roman"/>
                <w:sz w:val="18"/>
                <w:szCs w:val="18"/>
                <w:b w:val="1"/>
                <w:bCs w:val="1"/>
                <w:color w:val="auto"/>
              </w:rPr>
              <w:t>Diluted</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gridSpan w:val="3"/>
          </w:tcPr>
          <w:p>
            <w:pPr>
              <w:jc w:val="right"/>
              <w:ind w:right="680"/>
              <w:spacing w:after="0" w:line="182" w:lineRule="exact"/>
              <w:rPr>
                <w:sz w:val="20"/>
                <w:szCs w:val="20"/>
                <w:color w:val="auto"/>
              </w:rPr>
            </w:pPr>
            <w:r>
              <w:rPr>
                <w:rFonts w:ascii="Times New Roman" w:cs="Times New Roman" w:eastAsia="Times New Roman" w:hAnsi="Times New Roman"/>
                <w:sz w:val="18"/>
                <w:szCs w:val="18"/>
                <w:b w:val="1"/>
                <w:bCs w:val="1"/>
                <w:color w:val="auto"/>
              </w:rPr>
              <w:t>Basic</w:t>
            </w:r>
          </w:p>
        </w:tc>
        <w:tc>
          <w:tcPr>
            <w:tcW w:w="940" w:type="dxa"/>
            <w:vAlign w:val="bottom"/>
          </w:tcPr>
          <w:p>
            <w:pPr>
              <w:jc w:val="right"/>
              <w:ind w:right="190"/>
              <w:spacing w:after="0" w:line="182" w:lineRule="exact"/>
              <w:rPr>
                <w:sz w:val="20"/>
                <w:szCs w:val="20"/>
                <w:color w:val="auto"/>
              </w:rPr>
            </w:pPr>
            <w:r>
              <w:rPr>
                <w:rFonts w:ascii="Times New Roman" w:cs="Times New Roman" w:eastAsia="Times New Roman" w:hAnsi="Times New Roman"/>
                <w:sz w:val="18"/>
                <w:szCs w:val="18"/>
                <w:b w:val="1"/>
                <w:bCs w:val="1"/>
                <w:color w:val="auto"/>
              </w:rPr>
              <w:t>Diluted</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5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 attributable to Hasbro, Inc.</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48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20" w:type="dxa"/>
            <w:vAlign w:val="bottom"/>
            <w:shd w:val="clear" w:color="auto" w:fill="CCEEFF"/>
          </w:tcPr>
          <w:p>
            <w:pPr>
              <w:spacing w:after="0"/>
              <w:rPr>
                <w:sz w:val="19"/>
                <w:szCs w:val="19"/>
                <w:color w:val="auto"/>
              </w:rPr>
            </w:pPr>
          </w:p>
        </w:tc>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shares outstanding</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w:t>
            </w:r>
          </w:p>
        </w:tc>
      </w:tr>
      <w:tr>
        <w:trPr>
          <w:trHeight w:val="229"/>
        </w:trPr>
        <w:tc>
          <w:tcPr>
            <w:tcW w:w="20" w:type="dxa"/>
            <w:vAlign w:val="bottom"/>
          </w:tcPr>
          <w:p>
            <w:pPr>
              <w:spacing w:after="0"/>
              <w:rPr>
                <w:sz w:val="19"/>
                <w:szCs w:val="19"/>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5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Options and other share-based awards</w:t>
            </w:r>
          </w:p>
        </w:tc>
        <w:tc>
          <w:tcPr>
            <w:tcW w:w="24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3"/>
        </w:trPr>
        <w:tc>
          <w:tcPr>
            <w:tcW w:w="20" w:type="dxa"/>
            <w:vAlign w:val="bottom"/>
          </w:tcPr>
          <w:p>
            <w:pPr>
              <w:spacing w:after="0"/>
              <w:rPr>
                <w:sz w:val="19"/>
                <w:szCs w:val="19"/>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Equivalent Shares</w:t>
            </w: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48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earnings attributable to Hasbro, Inc. per common share</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50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Nine Months</w:t>
            </w:r>
          </w:p>
        </w:tc>
        <w:tc>
          <w:tcPr>
            <w:tcW w:w="240" w:type="dxa"/>
            <w:vAlign w:val="bottom"/>
          </w:tcPr>
          <w:p>
            <w:pPr>
              <w:spacing w:after="0"/>
              <w:rPr>
                <w:sz w:val="15"/>
                <w:szCs w:val="15"/>
                <w:color w:val="auto"/>
              </w:rPr>
            </w:pPr>
          </w:p>
        </w:tc>
        <w:tc>
          <w:tcPr>
            <w:tcW w:w="1020" w:type="dxa"/>
            <w:vAlign w:val="bottom"/>
            <w:gridSpan w:val="2"/>
          </w:tcPr>
          <w:p>
            <w:pPr>
              <w:ind w:left="140"/>
              <w:spacing w:after="0" w:line="182" w:lineRule="exact"/>
              <w:rPr>
                <w:sz w:val="20"/>
                <w:szCs w:val="20"/>
                <w:color w:val="auto"/>
              </w:rPr>
            </w:pPr>
            <w:r>
              <w:rPr>
                <w:rFonts w:ascii="Times New Roman" w:cs="Times New Roman" w:eastAsia="Times New Roman" w:hAnsi="Times New Roman"/>
                <w:sz w:val="18"/>
                <w:szCs w:val="18"/>
                <w:b w:val="1"/>
                <w:bCs w:val="1"/>
                <w:color w:val="auto"/>
              </w:rPr>
              <w:t>Basic</w:t>
            </w:r>
          </w:p>
        </w:tc>
        <w:tc>
          <w:tcPr>
            <w:tcW w:w="220" w:type="dxa"/>
            <w:vAlign w:val="bottom"/>
          </w:tcPr>
          <w:p>
            <w:pPr>
              <w:spacing w:after="0"/>
              <w:rPr>
                <w:sz w:val="15"/>
                <w:szCs w:val="15"/>
                <w:color w:val="auto"/>
              </w:rPr>
            </w:pPr>
          </w:p>
        </w:tc>
        <w:tc>
          <w:tcPr>
            <w:tcW w:w="940" w:type="dxa"/>
            <w:vAlign w:val="bottom"/>
          </w:tcPr>
          <w:p>
            <w:pPr>
              <w:jc w:val="right"/>
              <w:ind w:right="190"/>
              <w:spacing w:after="0" w:line="182" w:lineRule="exact"/>
              <w:rPr>
                <w:sz w:val="20"/>
                <w:szCs w:val="20"/>
                <w:color w:val="auto"/>
              </w:rPr>
            </w:pPr>
            <w:r>
              <w:rPr>
                <w:rFonts w:ascii="Times New Roman" w:cs="Times New Roman" w:eastAsia="Times New Roman" w:hAnsi="Times New Roman"/>
                <w:sz w:val="18"/>
                <w:szCs w:val="18"/>
                <w:b w:val="1"/>
                <w:bCs w:val="1"/>
                <w:color w:val="auto"/>
              </w:rPr>
              <w:t>Diluted</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tcPr>
          <w:p>
            <w:pPr>
              <w:ind w:left="120"/>
              <w:spacing w:after="0" w:line="182" w:lineRule="exact"/>
              <w:rPr>
                <w:sz w:val="20"/>
                <w:szCs w:val="20"/>
                <w:color w:val="auto"/>
              </w:rPr>
            </w:pPr>
            <w:r>
              <w:rPr>
                <w:rFonts w:ascii="Times New Roman" w:cs="Times New Roman" w:eastAsia="Times New Roman" w:hAnsi="Times New Roman"/>
                <w:sz w:val="18"/>
                <w:szCs w:val="18"/>
                <w:b w:val="1"/>
                <w:bCs w:val="1"/>
                <w:color w:val="auto"/>
              </w:rPr>
              <w:t>Basic</w:t>
            </w:r>
          </w:p>
        </w:tc>
        <w:tc>
          <w:tcPr>
            <w:tcW w:w="220" w:type="dxa"/>
            <w:vAlign w:val="bottom"/>
          </w:tcPr>
          <w:p>
            <w:pPr>
              <w:spacing w:after="0"/>
              <w:rPr>
                <w:sz w:val="15"/>
                <w:szCs w:val="15"/>
                <w:color w:val="auto"/>
              </w:rPr>
            </w:pPr>
          </w:p>
        </w:tc>
        <w:tc>
          <w:tcPr>
            <w:tcW w:w="940" w:type="dxa"/>
            <w:vAlign w:val="bottom"/>
          </w:tcPr>
          <w:p>
            <w:pPr>
              <w:jc w:val="right"/>
              <w:ind w:right="210"/>
              <w:spacing w:after="0" w:line="182" w:lineRule="exact"/>
              <w:rPr>
                <w:sz w:val="20"/>
                <w:szCs w:val="20"/>
                <w:color w:val="auto"/>
              </w:rPr>
            </w:pPr>
            <w:r>
              <w:rPr>
                <w:rFonts w:ascii="Times New Roman" w:cs="Times New Roman" w:eastAsia="Times New Roman" w:hAnsi="Times New Roman"/>
                <w:sz w:val="18"/>
                <w:szCs w:val="18"/>
                <w:b w:val="1"/>
                <w:bCs w:val="1"/>
                <w:color w:val="auto"/>
              </w:rPr>
              <w:t>Diluted</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45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5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 attributable to Hasbro, Inc.</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332.4</w:t>
            </w:r>
          </w:p>
        </w:tc>
        <w:tc>
          <w:tcPr>
            <w:tcW w:w="120" w:type="dxa"/>
            <w:vAlign w:val="bottom"/>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4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shares outstanding</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12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Options and other share-based awards</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Equivalent Shares</w:t>
            </w: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45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5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vMerge w:val="restart"/>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earnings attributable to Hasbro, Inc. per common share</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20" w:type="dxa"/>
            <w:vAlign w:val="bottom"/>
            <w:vMerge w:val="continue"/>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5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For the quarter and nine months ended September 25, 2022, options and restricted stock units totaling 2.9 million and 2.8 million, respectively, were excluded from the calculation of diluted earnings per share because to include them would have been anti-dilutive. For the quarter and nine months ended September 26, 2021, options and restricted stock units totaling 2.1 million and 2.2 million, respectively, were excluded from the calculation of diluted earnings per share because to include them would have been anti-dilutive.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532765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4" w:right="499" w:bottom="1440" w:gutter="0" w:footer="0" w:header="0"/>
        </w:sectPr>
      </w:pPr>
    </w:p>
    <w:bookmarkStart w:id="13" w:name="page14"/>
    <w:bookmarkEnd w:id="13"/>
    <w:p>
      <w:pPr>
        <w:ind w:left="350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(Millions of Dollars and Shares Except Per Share Data)</w:t>
      </w:r>
    </w:p>
    <w:p>
      <w:pPr>
        <w:spacing w:after="0" w:line="200" w:lineRule="exact"/>
        <w:rPr>
          <w:sz w:val="20"/>
          <w:szCs w:val="20"/>
          <w:color w:val="auto"/>
        </w:rPr>
      </w:pPr>
    </w:p>
    <w:p>
      <w:pPr>
        <w:spacing w:after="0" w:line="325" w:lineRule="exact"/>
        <w:rPr>
          <w:sz w:val="20"/>
          <w:szCs w:val="20"/>
          <w:color w:val="auto"/>
        </w:rPr>
      </w:pPr>
    </w:p>
    <w:p>
      <w:pPr>
        <w:ind w:left="260" w:hanging="252"/>
        <w:spacing w:after="0"/>
        <w:tabs>
          <w:tab w:leader="none" w:pos="2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Goodwill</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During the first quarter of 2021, the Company realigned its financial reporting structure creating the following three principal reportable segments: Consumer Products, Wizards of the Coast and Digital Gaming and Entertainment. In our realignment, some, but not all, of our reporting units were changed. As a result of these changes, during 2021, the Company reallocated its goodwill among the revised reporting units based on the change in relative fair values of the respective reporting units.</w:t>
      </w:r>
    </w:p>
    <w:p>
      <w:pPr>
        <w:spacing w:after="0" w:line="12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Changes in the carrying amount of goodwill, by operating segment, for the nine month periods ended September 25, 2022 and September 26, 2021 are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8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Consumer Products</w:t>
            </w: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Wizards of the Coast</w:t>
            </w:r>
          </w:p>
        </w:tc>
        <w:tc>
          <w:tcPr>
            <w:tcW w:w="18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Entertainment</w:t>
            </w:r>
          </w:p>
        </w:tc>
        <w:tc>
          <w:tcPr>
            <w:tcW w:w="400" w:type="dxa"/>
            <w:vAlign w:val="bottom"/>
          </w:tcPr>
          <w:p>
            <w:pPr>
              <w:spacing w:after="0"/>
              <w:rPr>
                <w:sz w:val="17"/>
                <w:szCs w:val="17"/>
                <w:color w:val="auto"/>
              </w:rPr>
            </w:pPr>
          </w:p>
        </w:tc>
        <w:tc>
          <w:tcPr>
            <w:tcW w:w="1360" w:type="dxa"/>
            <w:vAlign w:val="bottom"/>
            <w:vMerge w:val="restart"/>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1840" w:type="dxa"/>
            <w:vAlign w:val="bottom"/>
            <w:gridSpan w:val="3"/>
            <w:vMerge w:val="continue"/>
          </w:tcPr>
          <w:p>
            <w:pPr>
              <w:spacing w:after="0"/>
              <w:rPr>
                <w:sz w:val="21"/>
                <w:szCs w:val="21"/>
                <w:color w:val="auto"/>
              </w:rPr>
            </w:pPr>
          </w:p>
        </w:tc>
        <w:tc>
          <w:tcPr>
            <w:tcW w:w="1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and Digital Gaming</w:t>
            </w:r>
          </w:p>
        </w:tc>
        <w:tc>
          <w:tcPr>
            <w:tcW w:w="1840" w:type="dxa"/>
            <w:vAlign w:val="bottom"/>
            <w:gridSpan w:val="2"/>
            <w:vMerge w:val="continue"/>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CCEEFF"/>
            </w:tcBorders>
            <w:shd w:val="clear" w:color="auto" w:fill="CCEEFF"/>
          </w:tcPr>
          <w:p>
            <w:pPr>
              <w:spacing w:after="0"/>
              <w:rPr>
                <w:sz w:val="14"/>
                <w:szCs w:val="14"/>
                <w:color w:val="auto"/>
              </w:rPr>
            </w:pPr>
          </w:p>
        </w:tc>
        <w:tc>
          <w:tcPr>
            <w:tcW w:w="3940" w:type="dxa"/>
            <w:vAlign w:val="bottom"/>
            <w:tcBorders>
              <w:top w:val="single" w:sz="8" w:color="CCEEFF"/>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2022</w:t>
            </w:r>
          </w:p>
        </w:tc>
        <w:tc>
          <w:tcPr>
            <w:tcW w:w="56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7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7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35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December 26, 2021</w:t>
            </w: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1,584.9</w:t>
            </w:r>
          </w:p>
        </w:tc>
        <w:tc>
          <w:tcPr>
            <w:tcW w:w="100" w:type="dxa"/>
            <w:vAlign w:val="bottom"/>
          </w:tcPr>
          <w:p>
            <w:pPr>
              <w:spacing w:after="0"/>
              <w:rPr>
                <w:sz w:val="19"/>
                <w:szCs w:val="19"/>
                <w:color w:val="auto"/>
              </w:rPr>
            </w:pPr>
          </w:p>
        </w:tc>
        <w:tc>
          <w:tcPr>
            <w:tcW w:w="17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307.3</w:t>
            </w:r>
          </w:p>
        </w:tc>
        <w:tc>
          <w:tcPr>
            <w:tcW w:w="100" w:type="dxa"/>
            <w:vAlign w:val="bottom"/>
          </w:tcPr>
          <w:p>
            <w:pPr>
              <w:spacing w:after="0"/>
              <w:rPr>
                <w:sz w:val="19"/>
                <w:szCs w:val="19"/>
                <w:color w:val="auto"/>
              </w:rPr>
            </w:pPr>
          </w:p>
        </w:tc>
        <w:tc>
          <w:tcPr>
            <w:tcW w:w="1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1,527.4</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3,419.6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Acquired during the period</w:t>
            </w:r>
          </w:p>
        </w:tc>
        <w:tc>
          <w:tcPr>
            <w:tcW w:w="5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64.7</w:t>
            </w:r>
          </w:p>
        </w:tc>
        <w:tc>
          <w:tcPr>
            <w:tcW w:w="10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exchange translation</w:t>
            </w:r>
          </w:p>
        </w:tc>
        <w:tc>
          <w:tcPr>
            <w:tcW w:w="560" w:type="dxa"/>
            <w:vAlign w:val="bottom"/>
          </w:tcPr>
          <w:p>
            <w:pPr>
              <w:spacing w:after="0"/>
              <w:rPr>
                <w:sz w:val="19"/>
                <w:szCs w:val="19"/>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17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1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during the period</w:t>
            </w:r>
          </w:p>
        </w:tc>
        <w:tc>
          <w:tcPr>
            <w:tcW w:w="5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September 25, 2022</w:t>
            </w: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1,584.5</w:t>
            </w:r>
          </w:p>
        </w:tc>
        <w:tc>
          <w:tcPr>
            <w:tcW w:w="100" w:type="dxa"/>
            <w:vAlign w:val="bottom"/>
          </w:tcPr>
          <w:p>
            <w:pPr>
              <w:spacing w:after="0"/>
              <w:rPr>
                <w:sz w:val="19"/>
                <w:szCs w:val="19"/>
                <w:color w:val="auto"/>
              </w:rPr>
            </w:pPr>
          </w:p>
        </w:tc>
        <w:tc>
          <w:tcPr>
            <w:tcW w:w="174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371.5</w:t>
            </w:r>
          </w:p>
        </w:tc>
        <w:tc>
          <w:tcPr>
            <w:tcW w:w="100" w:type="dxa"/>
            <w:vAlign w:val="bottom"/>
          </w:tcPr>
          <w:p>
            <w:pPr>
              <w:spacing w:after="0"/>
              <w:rPr>
                <w:sz w:val="19"/>
                <w:szCs w:val="19"/>
                <w:color w:val="auto"/>
              </w:rPr>
            </w:pPr>
          </w:p>
        </w:tc>
        <w:tc>
          <w:tcPr>
            <w:tcW w:w="176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1,513.8</w:t>
            </w:r>
          </w:p>
        </w:tc>
        <w:tc>
          <w:tcPr>
            <w:tcW w:w="8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3,469.8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8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Consumer Products</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Wizards of the Coast</w:t>
            </w:r>
          </w:p>
        </w:tc>
        <w:tc>
          <w:tcPr>
            <w:tcW w:w="18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Entertainment</w:t>
            </w:r>
          </w:p>
        </w:tc>
        <w:tc>
          <w:tcPr>
            <w:tcW w:w="400" w:type="dxa"/>
            <w:vAlign w:val="bottom"/>
          </w:tcPr>
          <w:p>
            <w:pPr>
              <w:spacing w:after="0"/>
              <w:rPr>
                <w:sz w:val="17"/>
                <w:szCs w:val="17"/>
                <w:color w:val="auto"/>
              </w:rPr>
            </w:pPr>
          </w:p>
        </w:tc>
        <w:tc>
          <w:tcPr>
            <w:tcW w:w="1360" w:type="dxa"/>
            <w:vAlign w:val="bottom"/>
            <w:vMerge w:val="restart"/>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1840" w:type="dxa"/>
            <w:vAlign w:val="bottom"/>
            <w:gridSpan w:val="3"/>
            <w:vMerge w:val="continue"/>
          </w:tcPr>
          <w:p>
            <w:pPr>
              <w:spacing w:after="0"/>
              <w:rPr>
                <w:sz w:val="21"/>
                <w:szCs w:val="21"/>
                <w:color w:val="auto"/>
              </w:rPr>
            </w:pPr>
          </w:p>
        </w:tc>
        <w:tc>
          <w:tcPr>
            <w:tcW w:w="18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and Digital Gaming</w:t>
            </w:r>
          </w:p>
        </w:tc>
        <w:tc>
          <w:tcPr>
            <w:tcW w:w="1840" w:type="dxa"/>
            <w:vAlign w:val="bottom"/>
            <w:gridSpan w:val="2"/>
            <w:vMerge w:val="continue"/>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CCEEFF"/>
            </w:tcBorders>
            <w:shd w:val="clear" w:color="auto" w:fill="CCEEFF"/>
          </w:tcPr>
          <w:p>
            <w:pPr>
              <w:spacing w:after="0"/>
              <w:rPr>
                <w:sz w:val="14"/>
                <w:szCs w:val="14"/>
                <w:color w:val="auto"/>
              </w:rPr>
            </w:pPr>
          </w:p>
        </w:tc>
        <w:tc>
          <w:tcPr>
            <w:tcW w:w="3940" w:type="dxa"/>
            <w:vAlign w:val="bottom"/>
            <w:tcBorders>
              <w:top w:val="single" w:sz="8" w:color="CCEEFF"/>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2021</w:t>
            </w:r>
          </w:p>
        </w:tc>
        <w:tc>
          <w:tcPr>
            <w:tcW w:w="56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7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7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35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December 27, 2020</w:t>
            </w: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1,385.7</w:t>
            </w:r>
          </w:p>
        </w:tc>
        <w:tc>
          <w:tcPr>
            <w:tcW w:w="100" w:type="dxa"/>
            <w:vAlign w:val="bottom"/>
          </w:tcPr>
          <w:p>
            <w:pPr>
              <w:spacing w:after="0"/>
              <w:rPr>
                <w:sz w:val="19"/>
                <w:szCs w:val="19"/>
                <w:color w:val="auto"/>
              </w:rPr>
            </w:pPr>
          </w:p>
        </w:tc>
        <w:tc>
          <w:tcPr>
            <w:tcW w:w="17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tcPr>
          <w:p>
            <w:pPr>
              <w:spacing w:after="0"/>
              <w:rPr>
                <w:sz w:val="19"/>
                <w:szCs w:val="19"/>
                <w:color w:val="auto"/>
              </w:rPr>
            </w:pPr>
          </w:p>
        </w:tc>
        <w:tc>
          <w:tcPr>
            <w:tcW w:w="1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2,252.9</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3,691.7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allocation</w:t>
            </w: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199.4</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254.2</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(453.6)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exchange translation</w:t>
            </w:r>
          </w:p>
        </w:tc>
        <w:tc>
          <w:tcPr>
            <w:tcW w:w="560" w:type="dxa"/>
            <w:vAlign w:val="bottom"/>
          </w:tcPr>
          <w:p>
            <w:pPr>
              <w:spacing w:after="0"/>
              <w:rPr>
                <w:sz w:val="19"/>
                <w:szCs w:val="19"/>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7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1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during the period</w:t>
            </w:r>
          </w:p>
        </w:tc>
        <w:tc>
          <w:tcPr>
            <w:tcW w:w="5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(101.8)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(101.8)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 associated with the disposal of business</w:t>
            </w:r>
          </w:p>
        </w:tc>
        <w:tc>
          <w:tcPr>
            <w:tcW w:w="56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(169.2)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(169.2)</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9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26, 2021</w:t>
            </w:r>
          </w:p>
        </w:tc>
        <w:tc>
          <w:tcPr>
            <w:tcW w:w="56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3,420.2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During the third quarter of 2022, the Company determined to exit certain non-core businesses within the Entertainment segment resulting in the classification of certain assets as Assets Held for Sale. A revaluation of the effected businesses resulted in a pre-tax non-cash goodwill impairment charge of $11.8 million, recorded within Loss on Assets Held for Sale in the Consolidated Statement of Operations, and within the Entertainment segment for the quarter ended September 25, 2022.</w:t>
      </w:r>
    </w:p>
    <w:p>
      <w:pPr>
        <w:spacing w:after="0" w:line="12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 May 19, 2022, the Company completed its acquisition of D&amp;D Beyond for $146.3 million, which was funded with cash on hand. Based on the valuation of these assets, $64.7 million was allocated to goodwill within the Wizards of the Coast and Digital Gaming segment during the second quarter of 2022.</w:t>
      </w:r>
    </w:p>
    <w:p>
      <w:pPr>
        <w:spacing w:after="0" w:line="12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During the second quarter of 2021, the Company entered into a definitive agreement to sell eOne Music. Based on the value of the net assets held by eOne Music, which included goodwill and intangible assets allocated to eOne Music as part of the eOne Acquisition, the Company recorded a pre-tax non-cash goodwill impairment charge of $101.8 million, during the second quarter of 2021, within Loss on Disposal of Business in the Consolidated Statements of Operations, and within the Entertainment segment. On June 29, 2021, during the Company's fiscal third quarter, the eOne Music sale was completed and associated goodwill and intangible assets were removed from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535305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4" w:name="page15"/>
    <w:bookmarkEnd w:id="14"/>
    <w:p>
      <w:pPr>
        <w:ind w:left="350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(Millions of Dollars and Shares Except Per Share Data)</w:t>
      </w:r>
    </w:p>
    <w:p>
      <w:pPr>
        <w:spacing w:after="0" w:line="200" w:lineRule="exact"/>
        <w:rPr>
          <w:sz w:val="20"/>
          <w:szCs w:val="20"/>
          <w:color w:val="auto"/>
        </w:rPr>
      </w:pPr>
    </w:p>
    <w:p>
      <w:pPr>
        <w:spacing w:after="0" w:line="339" w:lineRule="exact"/>
        <w:rPr>
          <w:sz w:val="20"/>
          <w:szCs w:val="20"/>
          <w:color w:val="auto"/>
        </w:rPr>
      </w:pPr>
    </w:p>
    <w:p>
      <w:pPr>
        <w:ind w:left="260" w:hanging="252"/>
        <w:spacing w:after="0"/>
        <w:tabs>
          <w:tab w:leader="none" w:pos="2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Other Comprehensive Earnings (Loss)</w:t>
      </w:r>
    </w:p>
    <w:p>
      <w:pPr>
        <w:spacing w:after="0" w:line="202"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Components of other comprehensive earnings (loss) are presented within the consolidated statements of comprehensive earnings. The following table presents the related tax effects on changes in other comprehensive earnings (loss) for the quarters and nine months ended September 25, 2022 and September 26, 2021.</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0" w:type="dxa"/>
            <w:vAlign w:val="bottom"/>
            <w:gridSpan w:val="4"/>
          </w:tcPr>
          <w:p>
            <w:pPr>
              <w:ind w:left="80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160" w:type="dxa"/>
            <w:vAlign w:val="bottom"/>
          </w:tcPr>
          <w:p>
            <w:pPr>
              <w:spacing w:after="0"/>
              <w:rPr>
                <w:sz w:val="20"/>
                <w:szCs w:val="20"/>
                <w:color w:val="auto"/>
              </w:rPr>
            </w:pPr>
          </w:p>
        </w:tc>
        <w:tc>
          <w:tcPr>
            <w:tcW w:w="2900" w:type="dxa"/>
            <w:vAlign w:val="bottom"/>
            <w:gridSpan w:val="3"/>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74"/>
        </w:trPr>
        <w:tc>
          <w:tcPr>
            <w:tcW w:w="50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gridSpan w:val="2"/>
          </w:tcPr>
          <w:p>
            <w:pPr>
              <w:ind w:left="40"/>
              <w:spacing w:after="0" w:line="174" w:lineRule="exact"/>
              <w:rPr>
                <w:sz w:val="20"/>
                <w:szCs w:val="20"/>
                <w:color w:val="auto"/>
              </w:rPr>
            </w:pPr>
            <w:r>
              <w:rPr>
                <w:rFonts w:ascii="Times New Roman" w:cs="Times New Roman" w:eastAsia="Times New Roman" w:hAnsi="Times New Roman"/>
                <w:sz w:val="18"/>
                <w:szCs w:val="18"/>
                <w:b w:val="1"/>
                <w:bCs w:val="1"/>
                <w:color w:val="auto"/>
              </w:rPr>
              <w:t>September 25,</w:t>
            </w:r>
          </w:p>
        </w:tc>
        <w:tc>
          <w:tcPr>
            <w:tcW w:w="1480" w:type="dxa"/>
            <w:vAlign w:val="bottom"/>
            <w:tcBorders>
              <w:top w:val="single" w:sz="8" w:color="auto"/>
            </w:tcBorders>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9"/>
              </w:rPr>
              <w:t>September 26,</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gridSpan w:val="2"/>
          </w:tcPr>
          <w:p>
            <w:pPr>
              <w:jc w:val="center"/>
              <w:ind w:right="240"/>
              <w:spacing w:after="0" w:line="174" w:lineRule="exact"/>
              <w:rPr>
                <w:sz w:val="20"/>
                <w:szCs w:val="20"/>
                <w:color w:val="auto"/>
              </w:rPr>
            </w:pPr>
            <w:r>
              <w:rPr>
                <w:rFonts w:ascii="Times New Roman" w:cs="Times New Roman" w:eastAsia="Times New Roman" w:hAnsi="Times New Roman"/>
                <w:sz w:val="18"/>
                <w:szCs w:val="18"/>
                <w:b w:val="1"/>
                <w:bCs w:val="1"/>
                <w:color w:val="auto"/>
                <w:w w:val="99"/>
              </w:rPr>
              <w:t>September 25,</w:t>
            </w:r>
          </w:p>
        </w:tc>
        <w:tc>
          <w:tcPr>
            <w:tcW w:w="1480" w:type="dxa"/>
            <w:vAlign w:val="bottom"/>
            <w:tcBorders>
              <w:top w:val="single" w:sz="8" w:color="auto"/>
            </w:tcBorders>
          </w:tcPr>
          <w:p>
            <w:pPr>
              <w:jc w:val="right"/>
              <w:ind w:right="90"/>
              <w:spacing w:after="0" w:line="174" w:lineRule="exact"/>
              <w:rPr>
                <w:sz w:val="20"/>
                <w:szCs w:val="20"/>
                <w:color w:val="auto"/>
              </w:rPr>
            </w:pPr>
            <w:r>
              <w:rPr>
                <w:rFonts w:ascii="Times New Roman" w:cs="Times New Roman" w:eastAsia="Times New Roman" w:hAnsi="Times New Roman"/>
                <w:sz w:val="18"/>
                <w:szCs w:val="18"/>
                <w:b w:val="1"/>
                <w:bCs w:val="1"/>
                <w:color w:val="auto"/>
              </w:rPr>
              <w:t>September 26,</w:t>
            </w:r>
          </w:p>
        </w:tc>
      </w:tr>
      <w:tr>
        <w:trPr>
          <w:trHeight w:val="238"/>
        </w:trPr>
        <w:tc>
          <w:tcPr>
            <w:tcW w:w="50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50"/>
        </w:trPr>
        <w:tc>
          <w:tcPr>
            <w:tcW w:w="50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r>
      <w:tr>
        <w:trPr>
          <w:trHeight w:val="23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earnings (loss), tax effect:</w:t>
            </w: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expense on unrealized holding gains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center"/>
              <w:ind w:left="1010"/>
              <w:spacing w:after="0"/>
              <w:rPr>
                <w:sz w:val="20"/>
                <w:szCs w:val="20"/>
                <w:color w:val="auto"/>
              </w:rPr>
            </w:pPr>
            <w:r>
              <w:rPr>
                <w:rFonts w:ascii="Times New Roman" w:cs="Times New Roman" w:eastAsia="Times New Roman" w:hAnsi="Times New Roman"/>
                <w:sz w:val="18"/>
                <w:szCs w:val="18"/>
                <w:color w:val="auto"/>
                <w:w w:val="97"/>
              </w:rPr>
              <w:t>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center"/>
              <w:ind w:left="850"/>
              <w:spacing w:after="0"/>
              <w:rPr>
                <w:sz w:val="20"/>
                <w:szCs w:val="20"/>
                <w:color w:val="auto"/>
              </w:rPr>
            </w:pPr>
            <w:r>
              <w:rPr>
                <w:rFonts w:ascii="Times New Roman" w:cs="Times New Roman" w:eastAsia="Times New Roman" w:hAnsi="Times New Roman"/>
                <w:sz w:val="18"/>
                <w:szCs w:val="18"/>
                <w:color w:val="auto"/>
                <w:w w:val="97"/>
              </w:rPr>
              <w:t>0.1</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expense on cash flow hedging activities</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148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3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Reclassifications to earnings, tax effect:</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29"/>
        </w:trPr>
        <w:tc>
          <w:tcPr>
            <w:tcW w:w="50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Tax expense (benefit) on cash flow hedging activities</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148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7"/>
              </w:rPr>
              <w:t>0.5</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5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unrecognized pension and postretirement amounts</w:t>
            </w:r>
          </w:p>
        </w:tc>
        <w:tc>
          <w:tcPr>
            <w:tcW w:w="14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center"/>
              <w:ind w:left="99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center"/>
              <w:ind w:left="83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tax effect on other comprehensive loss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center"/>
              <w:ind w:left="990"/>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center"/>
              <w:ind w:left="83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
        </w:trPr>
        <w:tc>
          <w:tcPr>
            <w:tcW w:w="5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components of accumulated other comprehensive earnings (loss), net of tax for the nine months ended September 25, 2022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26, 2021 are as follows: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Holding</w:t>
            </w: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Gains</w:t>
            </w:r>
          </w:p>
        </w:tc>
        <w:tc>
          <w:tcPr>
            <w:tcW w:w="14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Pension and</w:t>
            </w:r>
          </w:p>
        </w:tc>
        <w:tc>
          <w:tcPr>
            <w:tcW w:w="1400" w:type="dxa"/>
            <w:vAlign w:val="bottom"/>
            <w:gridSpan w:val="2"/>
            <w:vMerge w:val="continue"/>
          </w:tcPr>
          <w:p>
            <w:pPr>
              <w:spacing w:after="0"/>
              <w:rPr>
                <w:sz w:val="12"/>
                <w:szCs w:val="12"/>
                <w:color w:val="auto"/>
              </w:rPr>
            </w:pPr>
          </w:p>
        </w:tc>
        <w:tc>
          <w:tcPr>
            <w:tcW w:w="14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(Losses) on</w:t>
            </w:r>
          </w:p>
        </w:tc>
        <w:tc>
          <w:tcPr>
            <w:tcW w:w="1420" w:type="dxa"/>
            <w:vAlign w:val="bottom"/>
            <w:gridSpan w:val="2"/>
            <w:vMerge w:val="continue"/>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4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(Losses) on</w:t>
            </w:r>
          </w:p>
        </w:tc>
        <w:tc>
          <w:tcPr>
            <w:tcW w:w="142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rPr>
              <w:t>Available-</w:t>
            </w:r>
          </w:p>
        </w:tc>
        <w:tc>
          <w:tcPr>
            <w:tcW w:w="14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3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Postretirement</w:t>
            </w:r>
          </w:p>
        </w:tc>
        <w:tc>
          <w:tcPr>
            <w:tcW w:w="14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14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for-Sale</w:t>
            </w:r>
          </w:p>
        </w:tc>
        <w:tc>
          <w:tcPr>
            <w:tcW w:w="14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174"/>
        </w:trPr>
        <w:tc>
          <w:tcPr>
            <w:tcW w:w="20" w:type="dxa"/>
            <w:vAlign w:val="bottom"/>
            <w:tcBorders>
              <w:top w:val="single" w:sz="8" w:color="CCEEFF"/>
            </w:tcBorders>
            <w:shd w:val="clear" w:color="auto" w:fill="CCEEFF"/>
          </w:tcPr>
          <w:p>
            <w:pPr>
              <w:spacing w:after="0"/>
              <w:rPr>
                <w:sz w:val="15"/>
                <w:szCs w:val="15"/>
                <w:color w:val="auto"/>
              </w:rPr>
            </w:pPr>
          </w:p>
        </w:tc>
        <w:tc>
          <w:tcPr>
            <w:tcW w:w="4160" w:type="dxa"/>
            <w:vAlign w:val="bottom"/>
            <w:tcBorders>
              <w:top w:val="single" w:sz="8" w:color="CCEEFF"/>
            </w:tcBorders>
            <w:gridSpan w:val="2"/>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38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December 26, 2021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1320" w:type="dxa"/>
            <w:vAlign w:val="bottom"/>
          </w:tcPr>
          <w:p>
            <w:pPr>
              <w:jc w:val="center"/>
              <w:ind w:left="860"/>
              <w:spacing w:after="0"/>
              <w:rPr>
                <w:sz w:val="20"/>
                <w:szCs w:val="20"/>
                <w:color w:val="auto"/>
              </w:rPr>
            </w:pPr>
            <w:r>
              <w:rPr>
                <w:rFonts w:ascii="Times New Roman" w:cs="Times New Roman" w:eastAsia="Times New Roman" w:hAnsi="Times New Roman"/>
                <w:sz w:val="18"/>
                <w:szCs w:val="18"/>
                <w:color w:val="auto"/>
                <w:w w:val="97"/>
              </w:rPr>
              <w:t>0.2</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period other comprehensive earnings (loss)</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center"/>
              <w:ind w:left="84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September 25, 2022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2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center"/>
              <w:ind w:left="84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(297.4)</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180" w:type="dxa"/>
            <w:vAlign w:val="bottom"/>
            <w:gridSpan w:val="3"/>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27, 2020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center"/>
              <w:ind w:left="860"/>
              <w:spacing w:after="0"/>
              <w:rPr>
                <w:sz w:val="20"/>
                <w:szCs w:val="20"/>
                <w:color w:val="auto"/>
              </w:rPr>
            </w:pPr>
            <w:r>
              <w:rPr>
                <w:rFonts w:ascii="Times New Roman" w:cs="Times New Roman" w:eastAsia="Times New Roman" w:hAnsi="Times New Roman"/>
                <w:sz w:val="18"/>
                <w:szCs w:val="18"/>
                <w:color w:val="auto"/>
                <w:w w:val="97"/>
              </w:rPr>
              <w:t>0.3</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1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Current period other comprehensive earnings (loss)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center"/>
              <w:ind w:left="84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26, 2021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center"/>
              <w:ind w:left="860"/>
              <w:spacing w:after="0"/>
              <w:rPr>
                <w:sz w:val="20"/>
                <w:szCs w:val="20"/>
                <w:color w:val="auto"/>
              </w:rPr>
            </w:pPr>
            <w:r>
              <w:rPr>
                <w:rFonts w:ascii="Times New Roman" w:cs="Times New Roman" w:eastAsia="Times New Roman" w:hAnsi="Times New Roman"/>
                <w:sz w:val="18"/>
                <w:szCs w:val="18"/>
                <w:color w:val="auto"/>
                <w:w w:val="97"/>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Gains (Losses) on Derivative Instruments</w:t>
      </w:r>
    </w:p>
    <w:p>
      <w:pPr>
        <w:spacing w:after="0" w:line="20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At September 25, 2022, the Company had remaining net deferred gains on foreign currency forward contracts, net of tax, of $22.4 million in accumulated other comprehensive earnings (loss) ("AOCE"). These instruments hedge payments related to inventory purchased in the third quarter of 2022 or forecasted to be purchased during the remainder of 2022 through 2023, intercompany expenses expected to be paid or received during 2022, television and movie production costs paid in 2022 or expected to be paid in 2023 or 2024, and cash receipts for sales made at the end of the third quarter of 2022 or forecasted to be made in the remainder of 2022. These amounts will be reclassified into the consolidated statements of operations upon the sale of the related inventory, the recognition of the related production costs or the recognition of the related sales or intercompany expenses to be paid or received.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537845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5" w:name="page16"/>
    <w:bookmarkEnd w:id="15"/>
    <w:p>
      <w:pPr>
        <w:ind w:left="350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(Millions of Dollars and Shares Except Per Share Data)</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foreign currency forward contracts, the Company entered into hedging contracts on future interest payments related to the 3.15% Notes that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were repaid in full in the aggregate principal amount of $300.0 million during the first quarter of 2021 (See note 7), and the 5.10% Notes due 2044. At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debt issuance, these contracts were terminated and the fair value on the date of settlement was deferred in AOCE and is being amortized to interest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 over the life of the related notes using the effective interest rate method. At September 25, 2022, deferred losses, net of tax of $15.0 million related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these instruments remained in AOCE. For each of the quarters ended September 25, 2022 and September 26, 2021, previously deferred losses of $0.2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related to these instruments were reclassified from AOCE to net earnings. For the nine-month periods ended September 25, 2022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26, 2021, previously deferred losses of $0.5 million and $1.0 million, respectively, related to these instruments were reclassified from AOCE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earnings.</w:t>
      </w:r>
    </w:p>
    <w:p>
      <w:pPr>
        <w:spacing w:after="0" w:line="180"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Of the net deferred gains included in AOCE at September 25, 2022, the Company expects net gains of approximately $22.4 million to be reclassified to the consolidated statements of operations within the next 12 months. However, the amount ultimately realized in earnings is dependent on the fair value of the hedging instruments on the settlement dates.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11 for additional discussion on reclassifications from AOCE to earnings.</w:t>
      </w:r>
    </w:p>
    <w:p>
      <w:pPr>
        <w:spacing w:after="0" w:line="181" w:lineRule="exact"/>
        <w:rPr>
          <w:sz w:val="20"/>
          <w:szCs w:val="20"/>
          <w:color w:val="auto"/>
        </w:rPr>
      </w:pPr>
    </w:p>
    <w:p>
      <w:pPr>
        <w:ind w:left="260" w:hanging="252"/>
        <w:spacing w:after="0"/>
        <w:tabs>
          <w:tab w:leader="none" w:pos="2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Accrued Liabilities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Components of accrued liabilities for the periods ended September 25, 2022, September 26, 2021 and December 26, 2021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25,</w:t>
            </w:r>
          </w:p>
        </w:tc>
        <w:tc>
          <w:tcPr>
            <w:tcW w:w="160" w:type="dxa"/>
            <w:vAlign w:val="bottom"/>
          </w:tcPr>
          <w:p>
            <w:pPr>
              <w:spacing w:after="0"/>
              <w:rPr>
                <w:sz w:val="17"/>
                <w:szCs w:val="17"/>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26,</w:t>
            </w:r>
          </w:p>
        </w:tc>
        <w:tc>
          <w:tcPr>
            <w:tcW w:w="158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26, 2021</w:t>
            </w:r>
          </w:p>
        </w:tc>
        <w:tc>
          <w:tcPr>
            <w:tcW w:w="0" w:type="dxa"/>
            <w:vAlign w:val="bottom"/>
          </w:tcPr>
          <w:p>
            <w:pPr>
              <w:spacing w:after="0"/>
              <w:rPr>
                <w:sz w:val="1"/>
                <w:szCs w:val="1"/>
                <w:color w:val="auto"/>
              </w:rPr>
            </w:pPr>
          </w:p>
        </w:tc>
      </w:tr>
      <w:tr>
        <w:trPr>
          <w:trHeight w:val="229"/>
        </w:trPr>
        <w:tc>
          <w:tcPr>
            <w:tcW w:w="6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c>
          <w:tcPr>
            <w:tcW w:w="158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Participations and residuals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272.9</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Royalties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taxes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Advertising</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Cancellation charges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Severance</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 IIC &amp; IIP</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Freight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income taxes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liability - Current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Bonus accrual</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vendor accruals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salaries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Defined contribution plans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Production payables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1,537.5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1,663.7</w:t>
            </w:r>
          </w:p>
        </w:tc>
        <w:tc>
          <w:tcPr>
            <w:tcW w:w="100" w:type="dxa"/>
            <w:vAlign w:val="bottom"/>
          </w:tcPr>
          <w:p>
            <w:pPr>
              <w:spacing w:after="0"/>
              <w:rPr>
                <w:sz w:val="19"/>
                <w:szCs w:val="19"/>
                <w:color w:val="auto"/>
              </w:rPr>
            </w:pPr>
          </w:p>
        </w:tc>
        <w:tc>
          <w:tcPr>
            <w:tcW w:w="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15"/>
        </w:trPr>
        <w:tc>
          <w:tcPr>
            <w:tcW w:w="64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6" w:name="page17"/>
    <w:bookmarkEnd w:id="16"/>
    <w:p>
      <w:pPr>
        <w:ind w:left="350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(Millions of Dollars and Shares Except Per Share Data)</w:t>
      </w:r>
    </w:p>
    <w:p>
      <w:pPr>
        <w:spacing w:after="0" w:line="200" w:lineRule="exact"/>
        <w:rPr>
          <w:sz w:val="20"/>
          <w:szCs w:val="20"/>
          <w:color w:val="auto"/>
        </w:rPr>
      </w:pPr>
    </w:p>
    <w:p>
      <w:pPr>
        <w:spacing w:after="0" w:line="339" w:lineRule="exact"/>
        <w:rPr>
          <w:sz w:val="20"/>
          <w:szCs w:val="20"/>
          <w:color w:val="auto"/>
        </w:rPr>
      </w:pPr>
    </w:p>
    <w:p>
      <w:pPr>
        <w:ind w:left="260" w:hanging="252"/>
        <w:spacing w:after="0"/>
        <w:tabs>
          <w:tab w:leader="none" w:pos="2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Financial Instruments</w:t>
      </w:r>
    </w:p>
    <w:p>
      <w:pPr>
        <w:spacing w:after="0" w:line="20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Company's financial instruments include cash and cash equivalents, accounts receivable, short-term borrowings, accounts payable and certain accrued liabilities. At September 25, 2022, September 26, 2021 and December 26, 2021, the carrying cost of these instruments approximated their fair value. The Company's financial instruments at September 25, 2022, September 26, 2021 and December 26, 2021 also include certain assets and liabilities measured at fair value (see notes 10 and 11) as well as long-term borrowings. The carrying costs, which are equal to the outstanding principal amounts, and fair values of the Company's long-term borrowings as of September 25, 2022, September 26, 2021 and December 26, 2021 are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20" w:type="dxa"/>
            <w:vAlign w:val="bottom"/>
            <w:gridSpan w:val="4"/>
          </w:tcPr>
          <w:p>
            <w:pPr>
              <w:ind w:left="400"/>
              <w:spacing w:after="0"/>
              <w:rPr>
                <w:sz w:val="20"/>
                <w:szCs w:val="20"/>
                <w:color w:val="auto"/>
              </w:rPr>
            </w:pPr>
            <w:r>
              <w:rPr>
                <w:rFonts w:ascii="Times New Roman" w:cs="Times New Roman" w:eastAsia="Times New Roman" w:hAnsi="Times New Roman"/>
                <w:sz w:val="18"/>
                <w:szCs w:val="18"/>
                <w:b w:val="1"/>
                <w:bCs w:val="1"/>
                <w:color w:val="auto"/>
              </w:rPr>
              <w:t>September 25, 2022</w:t>
            </w:r>
          </w:p>
        </w:tc>
        <w:tc>
          <w:tcPr>
            <w:tcW w:w="200" w:type="dxa"/>
            <w:vAlign w:val="bottom"/>
          </w:tcPr>
          <w:p>
            <w:pPr>
              <w:spacing w:after="0"/>
              <w:rPr>
                <w:sz w:val="20"/>
                <w:szCs w:val="20"/>
                <w:color w:val="auto"/>
              </w:rPr>
            </w:pPr>
          </w:p>
        </w:tc>
        <w:tc>
          <w:tcPr>
            <w:tcW w:w="2640" w:type="dxa"/>
            <w:vAlign w:val="bottom"/>
            <w:gridSpan w:val="4"/>
          </w:tcPr>
          <w:p>
            <w:pPr>
              <w:ind w:left="420"/>
              <w:spacing w:after="0"/>
              <w:rPr>
                <w:sz w:val="20"/>
                <w:szCs w:val="20"/>
                <w:color w:val="auto"/>
              </w:rPr>
            </w:pPr>
            <w:r>
              <w:rPr>
                <w:rFonts w:ascii="Times New Roman" w:cs="Times New Roman" w:eastAsia="Times New Roman" w:hAnsi="Times New Roman"/>
                <w:sz w:val="18"/>
                <w:szCs w:val="18"/>
                <w:b w:val="1"/>
                <w:bCs w:val="1"/>
                <w:color w:val="auto"/>
              </w:rPr>
              <w:t>September 26, 2021</w:t>
            </w:r>
          </w:p>
        </w:tc>
        <w:tc>
          <w:tcPr>
            <w:tcW w:w="200" w:type="dxa"/>
            <w:vAlign w:val="bottom"/>
          </w:tcPr>
          <w:p>
            <w:pPr>
              <w:spacing w:after="0"/>
              <w:rPr>
                <w:sz w:val="20"/>
                <w:szCs w:val="20"/>
                <w:color w:val="auto"/>
              </w:rPr>
            </w:pPr>
          </w:p>
        </w:tc>
        <w:tc>
          <w:tcPr>
            <w:tcW w:w="2520" w:type="dxa"/>
            <w:vAlign w:val="bottom"/>
            <w:gridSpan w:val="3"/>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December 26, 2021</w:t>
            </w:r>
          </w:p>
        </w:tc>
      </w:tr>
      <w:tr>
        <w:trPr>
          <w:trHeight w:val="169"/>
        </w:trPr>
        <w:tc>
          <w:tcPr>
            <w:tcW w:w="5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gridSpan w:val="2"/>
          </w:tcPr>
          <w:p>
            <w:pPr>
              <w:jc w:val="center"/>
              <w:ind w:right="320"/>
              <w:spacing w:after="0" w:line="169"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3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gridSpan w:val="2"/>
          </w:tcPr>
          <w:p>
            <w:pPr>
              <w:jc w:val="center"/>
              <w:ind w:right="300"/>
              <w:spacing w:after="0" w:line="169"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3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gridSpan w:val="2"/>
          </w:tcPr>
          <w:p>
            <w:pPr>
              <w:jc w:val="center"/>
              <w:ind w:right="320"/>
              <w:spacing w:after="0" w:line="169"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1300" w:type="dxa"/>
            <w:vAlign w:val="bottom"/>
            <w:tcBorders>
              <w:top w:val="single" w:sz="8" w:color="auto"/>
            </w:tcBorders>
          </w:tcPr>
          <w:p>
            <w:pPr>
              <w:jc w:val="right"/>
              <w:ind w:right="390"/>
              <w:spacing w:after="0" w:line="169" w:lineRule="exact"/>
              <w:rPr>
                <w:sz w:val="20"/>
                <w:szCs w:val="20"/>
                <w:color w:val="auto"/>
              </w:rPr>
            </w:pPr>
            <w:r>
              <w:rPr>
                <w:rFonts w:ascii="Times New Roman" w:cs="Times New Roman" w:eastAsia="Times New Roman" w:hAnsi="Times New Roman"/>
                <w:sz w:val="18"/>
                <w:szCs w:val="18"/>
                <w:b w:val="1"/>
                <w:bCs w:val="1"/>
                <w:color w:val="auto"/>
              </w:rPr>
              <w:t>Fair</w:t>
            </w:r>
          </w:p>
        </w:tc>
      </w:tr>
      <w:tr>
        <w:trPr>
          <w:trHeight w:val="238"/>
        </w:trPr>
        <w:tc>
          <w:tcPr>
            <w:tcW w:w="5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00" w:type="dxa"/>
            <w:vAlign w:val="bottom"/>
          </w:tcPr>
          <w:p>
            <w:pPr>
              <w:spacing w:after="0"/>
              <w:rPr>
                <w:sz w:val="20"/>
                <w:szCs w:val="20"/>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0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13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28"/>
        </w:trPr>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3.90%</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Due 2029</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100" w:type="dxa"/>
            <w:vAlign w:val="bottom"/>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804.6</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100" w:type="dxa"/>
            <w:vAlign w:val="bottom"/>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1,001.7</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120" w:type="dxa"/>
            <w:vAlign w:val="bottom"/>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991.7</w:t>
            </w:r>
          </w:p>
        </w:tc>
      </w:tr>
      <w:tr>
        <w:trPr>
          <w:trHeight w:val="229"/>
        </w:trPr>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3.55%</w:t>
            </w:r>
          </w:p>
        </w:tc>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Due 2026</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725.6</w:t>
            </w:r>
          </w:p>
        </w:tc>
      </w:tr>
      <w:tr>
        <w:trPr>
          <w:trHeight w:val="229"/>
        </w:trPr>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3.00%</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Due 2024</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521.2</w:t>
            </w:r>
          </w:p>
        </w:tc>
      </w:tr>
      <w:tr>
        <w:trPr>
          <w:trHeight w:val="230"/>
        </w:trPr>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6.35%</w:t>
            </w:r>
          </w:p>
        </w:tc>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Due 2040</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692.8</w:t>
            </w:r>
          </w:p>
        </w:tc>
      </w:tr>
      <w:tr>
        <w:trPr>
          <w:trHeight w:val="229"/>
        </w:trPr>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3.50%</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Due 2027</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539.2</w:t>
            </w:r>
          </w:p>
        </w:tc>
      </w:tr>
      <w:tr>
        <w:trPr>
          <w:trHeight w:val="230"/>
        </w:trPr>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5.10%</w:t>
            </w:r>
          </w:p>
        </w:tc>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Due 2044</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374.5</w:t>
            </w:r>
          </w:p>
        </w:tc>
      </w:tr>
      <w:tr>
        <w:trPr>
          <w:trHeight w:val="229"/>
        </w:trPr>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6.60%</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Debentures Due 2028</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w:t>
            </w:r>
          </w:p>
        </w:tc>
      </w:tr>
      <w:tr>
        <w:trPr>
          <w:trHeight w:val="175"/>
        </w:trPr>
        <w:tc>
          <w:tcPr>
            <w:tcW w:w="27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Variable % Notes Due December 30,</w:t>
            </w: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243"/>
        </w:trPr>
        <w:tc>
          <w:tcPr>
            <w:tcW w:w="2780" w:type="dxa"/>
            <w:vAlign w:val="bottom"/>
            <w:gridSpan w:val="2"/>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2024 </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505.0</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397.5</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397.5</w:t>
            </w:r>
          </w:p>
        </w:tc>
      </w:tr>
      <w:tr>
        <w:trPr>
          <w:trHeight w:val="229"/>
        </w:trPr>
        <w:tc>
          <w:tcPr>
            <w:tcW w:w="27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Production Financing Facilities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204.7</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170.1</w:t>
            </w:r>
          </w:p>
        </w:tc>
      </w:tr>
      <w:tr>
        <w:trPr>
          <w:trHeight w:val="223"/>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3,872.5</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3,638.4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4,194.6</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4,738.4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4,052.5</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4,549.3</w:t>
            </w:r>
          </w:p>
        </w:tc>
      </w:tr>
      <w:tr>
        <w:trPr>
          <w:trHeight w:val="229"/>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Deferred debt expenses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3,725.1</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3,638.4</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3,977.4</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4,738.4</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3,824.2</w:t>
            </w:r>
          </w:p>
        </w:tc>
        <w:tc>
          <w:tcPr>
            <w:tcW w:w="12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4,549.3</w:t>
            </w:r>
          </w:p>
        </w:tc>
      </w:tr>
      <w:tr>
        <w:trPr>
          <w:trHeight w:val="20"/>
        </w:trPr>
        <w:tc>
          <w:tcPr>
            <w:tcW w:w="5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left="180" w:hanging="172"/>
        <w:spacing w:after="0"/>
        <w:tabs>
          <w:tab w:leader="none" w:pos="180" w:val="left"/>
        </w:tabs>
        <w:numPr>
          <w:ilvl w:val="0"/>
          <w:numId w:val="1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During the first quarter of 2022, the Company repaid $50.0 million of the Variable % Notes due December 30, 2024.</w:t>
      </w:r>
    </w:p>
    <w:p>
      <w:pPr>
        <w:spacing w:after="0" w:line="198" w:lineRule="exact"/>
        <w:rPr>
          <w:sz w:val="20"/>
          <w:szCs w:val="20"/>
          <w:color w:val="auto"/>
        </w:rPr>
      </w:pPr>
    </w:p>
    <w:p>
      <w:pPr>
        <w:ind w:right="420"/>
        <w:spacing w:after="0" w:line="276" w:lineRule="auto"/>
        <w:rPr>
          <w:sz w:val="20"/>
          <w:szCs w:val="20"/>
          <w:color w:val="auto"/>
        </w:rPr>
      </w:pPr>
      <w:r>
        <w:rPr>
          <w:rFonts w:ascii="Times New Roman" w:cs="Times New Roman" w:eastAsia="Times New Roman" w:hAnsi="Times New Roman"/>
          <w:sz w:val="17"/>
          <w:szCs w:val="17"/>
          <w:color w:val="212529"/>
        </w:rPr>
        <w:t xml:space="preserve">In November 2019, in conjunction with the Company's acquisition of eOne, the Company issued an aggregate of </w:t>
      </w:r>
      <w:r>
        <w:rPr>
          <w:rFonts w:ascii="Times New Roman" w:cs="Times New Roman" w:eastAsia="Times New Roman" w:hAnsi="Times New Roman"/>
          <w:sz w:val="17"/>
          <w:szCs w:val="17"/>
          <w:color w:val="000000"/>
        </w:rPr>
        <w:t>$2.4 billion</w:t>
      </w:r>
      <w:r>
        <w:rPr>
          <w:rFonts w:ascii="Times New Roman" w:cs="Times New Roman" w:eastAsia="Times New Roman" w:hAnsi="Times New Roman"/>
          <w:sz w:val="17"/>
          <w:szCs w:val="17"/>
          <w:color w:val="212529"/>
        </w:rPr>
        <w:t xml:space="preserve"> of senior unsecured debt securities (the "Notes") consisting of the following tranches: $300.0 million of notes due 2022 (the "2022 Notes") that bear interest at a fixed rate</w:t>
      </w:r>
    </w:p>
    <w:p>
      <w:pPr>
        <w:spacing w:after="0" w:line="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212529"/>
        </w:rPr>
        <w:t>of 2.60%, $500.0 million of notes due 2024 (the "2024 Notes") that bear interest at a fixed rate of 3.00%, $675.0 million of notes due 2026 (the "2026 Notes") that bear interest at a fixed rate of 3.55% and $900.0 million of notes due 2029 (the "2029 Notes") that bear interest at a fixed rate of 3.90%. Net proceeds from the issuance of the Notes, after deduction of $20.0 million of underwriting discount and fees, totaled $2.4 billion. These costs are being amortized over the life of the Notes outstanding, which range from five years to ten years from the date of issuance. During 2021, the Company repaid in full the $300.0 million of 2022 Notes and recorded $9.1 million of debt extinguishment costs within other expense (income) in the Consolidated Statements of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The Notes bear interest at the stated rates but may be subject to upward adjustment if the credit rating of the Company is reduced by Moody's or Standard</w:t>
      </w:r>
    </w:p>
    <w:p>
      <w:pPr>
        <w:spacing w:after="0" w:line="27" w:lineRule="exact"/>
        <w:rPr>
          <w:sz w:val="20"/>
          <w:szCs w:val="20"/>
          <w:color w:val="auto"/>
        </w:rPr>
      </w:pPr>
    </w:p>
    <w:p>
      <w:pPr>
        <w:ind w:right="100" w:firstLine="8"/>
        <w:spacing w:after="0" w:line="252" w:lineRule="auto"/>
        <w:tabs>
          <w:tab w:leader="none" w:pos="185" w:val="left"/>
        </w:tabs>
        <w:numPr>
          <w:ilvl w:val="0"/>
          <w:numId w:val="13"/>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Poors. The adjustment can be from 0.25% to 2.00% based on the extent of the ratings decrease. The Company may redeem the Notes at its option at the greater of the principal amount of the Notes or the present value of the remaining scheduled payments discounted using the effective interest rate on applicable U.S. Treasury bills at the time of repurchase, plus (1) 25 basis points (in the case of the 2024 Notes); (2) 30 basis points (in the case of the 2026 Notes); and (3) 35 basis points (in the case of the 2029 Notes). In addition, on and after October 19, 2024 for the 2024 Notes, September 19, 2026 for the 2026 Notes and August 19, 2029 for the 2029 Notes, such series of Notes will be redeemable, in whole at any time or in part from time to time, at the Company's option at a redemption price equal to 100% of the principal amount of the Notes to be redeemed plus any accrued and unpaid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693420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bookmarkStart w:id="17" w:name="page18"/>
    <w:bookmarkEnd w:id="17"/>
    <w:p>
      <w:pPr>
        <w:ind w:left="350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(Millions of Dollars and Shares Except Per Share Data)</w:t>
      </w:r>
    </w:p>
    <w:p>
      <w:pPr>
        <w:spacing w:after="0" w:line="354" w:lineRule="exact"/>
        <w:rPr>
          <w:sz w:val="20"/>
          <w:szCs w:val="20"/>
          <w:color w:val="auto"/>
        </w:rPr>
      </w:pPr>
    </w:p>
    <w:p>
      <w:pPr>
        <w:ind w:right="100"/>
        <w:spacing w:after="0"/>
        <w:rPr>
          <w:sz w:val="20"/>
          <w:szCs w:val="20"/>
          <w:color w:val="auto"/>
        </w:rPr>
      </w:pPr>
      <w:r>
        <w:rPr>
          <w:rFonts w:ascii="Times New Roman" w:cs="Times New Roman" w:eastAsia="Times New Roman" w:hAnsi="Times New Roman"/>
          <w:sz w:val="18"/>
          <w:szCs w:val="18"/>
          <w:color w:val="auto"/>
        </w:rPr>
        <w:t>In September 2019, the Company entered into a $1.0 billion Term Loan Agreement (the "Term Loan Agreement”) with Bank of America N.A. (“Bank of America”), as administrative agent, and certain financial institutions as lenders, pursuant to which such lenders committed to provide, contingent upon the completion of the eOne Acquisition and certain other customary conditions to funding, (1) a three-year senior unsecured term loan facility in an aggregate principal amount of $400.0 million (the “Three-Year Tranche”) and (2) a five-year senior unsecured term loan facility in an aggregate principal amount of $600.0 million (the “Five-Year Tranche” and together with the Three-Year Tranche, the “Term Loan Facilities”). The full amount of the Term Loan Facilities was drawn down on December 30, 2019, the closing date of the eOne Acquisition. As of September 25, 2022, the Company has fully repaid the Three-Year Tranche $400.0 million principal term loan, and of the Five-Year Tranche $600.0 million principal balance, the Company has repaid a total of</w:t>
      </w:r>
    </w:p>
    <w:p>
      <w:pPr>
        <w:ind w:right="20"/>
        <w:spacing w:after="0" w:line="260" w:lineRule="auto"/>
        <w:rPr>
          <w:sz w:val="20"/>
          <w:szCs w:val="20"/>
          <w:color w:val="auto"/>
        </w:rPr>
      </w:pPr>
      <w:r>
        <w:rPr>
          <w:rFonts w:ascii="Times New Roman" w:cs="Times New Roman" w:eastAsia="Times New Roman" w:hAnsi="Times New Roman"/>
          <w:sz w:val="18"/>
          <w:szCs w:val="18"/>
          <w:color w:val="auto"/>
        </w:rPr>
        <w:t>$275.0 million in the following increments: $22.5 million in 2020; $180.0 million in 2021; and $72.5 million in the first nine months of 2022, consisting of $50.0 million of the principal balance and principal amortization payments of $22.5 million.</w:t>
      </w:r>
    </w:p>
    <w:p>
      <w:pPr>
        <w:spacing w:after="0" w:line="18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212529"/>
        </w:rPr>
        <w:t xml:space="preserve">Loans under the remaining </w:t>
      </w:r>
      <w:r>
        <w:rPr>
          <w:rFonts w:ascii="Times New Roman" w:cs="Times New Roman" w:eastAsia="Times New Roman" w:hAnsi="Times New Roman"/>
          <w:sz w:val="18"/>
          <w:szCs w:val="18"/>
          <w:color w:val="000000"/>
        </w:rPr>
        <w:t>Five</w:t>
      </w:r>
      <w:r>
        <w:rPr>
          <w:rFonts w:ascii="Times New Roman" w:cs="Times New Roman" w:eastAsia="Times New Roman" w:hAnsi="Times New Roman"/>
          <w:sz w:val="18"/>
          <w:szCs w:val="18"/>
          <w:color w:val="212529"/>
        </w:rPr>
        <w:t xml:space="preserve">-Year Tranche bear interest at the Company’s option, at either the Eurocurrency Rate or the Base Rate, plus a per annum applicable rate that fluctuates between 100.0 basis points and 187.5 basis points, in the case of loans priced at the Eurocurrency Rate, and between 0.0 basis points and 87.5 basis points, in the case of loans priced at the Base Rate, in each case, based upon the non-credit enhanced, senior unsecured long-term debt ratings of the Company by Fitch Ratings Inc., Moody’s Investor Service, Inc. and S&amp;P Global Rankings, subject to certain provisions taking into account potential differences in ratings issued by the relevant rating agencies or a lack of ratings issued by such rating agencies. Loans under the Five-Year Tranche require principal amortization payments that are payable in equal quarterly installments of 5.0% per annum of the original principal amount thereof for each of the first two years after funding, increasing to 10.0% per annum of the original principal amount thereof for each subsequent year. The Term Loan Agreement contains affirmative and negative covenants typical of this type of facility, including: (i) restrictions on the Company’s and its domestic subsidiaries’ ability to allow liens on their assets, (ii) restrictions on the incurrence of indebtedness, (iii) restrictions on the Company’s and certain of its subsidiaries’ ability to engage in certain mergers, (iv) the requirement that the Company maintain a Consolidated Interest Coverage Ratio of no less than 3.00:1.00 as of the end of any fiscal quarter and (v) the requirement that the Company maintain a Consolidated Total Leverage Ratio of no more than, depending on the gross proceeds of equity securities issued after the effective date of the acquisition of eOne, 5.65:1.00 or 5.40:1.00 for each of the first, second and third fiscal quarters ended after the funding of the Term Loan Facilities, with periodic step downs to 3.50:1.00 for the fiscal quarter ending December 31, 2023 and thereafter. As of </w:t>
      </w:r>
      <w:r>
        <w:rPr>
          <w:rFonts w:ascii="Times New Roman" w:cs="Times New Roman" w:eastAsia="Times New Roman" w:hAnsi="Times New Roman"/>
          <w:sz w:val="18"/>
          <w:szCs w:val="18"/>
          <w:color w:val="000000"/>
        </w:rPr>
        <w:t>September 25, 2022</w:t>
      </w:r>
      <w:r>
        <w:rPr>
          <w:rFonts w:ascii="Times New Roman" w:cs="Times New Roman" w:eastAsia="Times New Roman" w:hAnsi="Times New Roman"/>
          <w:sz w:val="18"/>
          <w:szCs w:val="18"/>
          <w:color w:val="212529"/>
        </w:rPr>
        <w:t>, the Company was in compliance with the financial covenants contained in the Term Loan Agreement.</w:t>
      </w:r>
    </w:p>
    <w:p>
      <w:pPr>
        <w:spacing w:after="0" w:line="169" w:lineRule="exact"/>
        <w:rPr>
          <w:sz w:val="20"/>
          <w:szCs w:val="20"/>
          <w:color w:val="auto"/>
        </w:rPr>
      </w:pPr>
    </w:p>
    <w:p>
      <w:pPr>
        <w:ind w:right="260"/>
        <w:spacing w:after="0" w:line="312" w:lineRule="auto"/>
        <w:rPr>
          <w:sz w:val="20"/>
          <w:szCs w:val="20"/>
          <w:color w:val="auto"/>
        </w:rPr>
      </w:pPr>
      <w:r>
        <w:rPr>
          <w:rFonts w:ascii="Times New Roman" w:cs="Times New Roman" w:eastAsia="Times New Roman" w:hAnsi="Times New Roman"/>
          <w:sz w:val="17"/>
          <w:szCs w:val="17"/>
          <w:color w:val="auto"/>
        </w:rPr>
        <w:t>The Company may redeem its 5.10% notes due in 2044 (the "2044 Notes") at its option, at the greater of the principal amount of the notes or the present value of the remaining scheduled payments, discounted using the effective interest rate on applicable U.S. Treasury bills at the time of repurchase.</w:t>
      </w:r>
    </w:p>
    <w:p>
      <w:pPr>
        <w:spacing w:after="0" w:line="9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212529"/>
        </w:rPr>
        <w:t xml:space="preserve">Current portion of long-term debt at </w:t>
      </w:r>
      <w:r>
        <w:rPr>
          <w:rFonts w:ascii="Times New Roman" w:cs="Times New Roman" w:eastAsia="Times New Roman" w:hAnsi="Times New Roman"/>
          <w:sz w:val="18"/>
          <w:szCs w:val="18"/>
          <w:color w:val="000000"/>
        </w:rPr>
        <w:t>September 25, 2022</w:t>
      </w:r>
      <w:r>
        <w:rPr>
          <w:rFonts w:ascii="Times New Roman" w:cs="Times New Roman" w:eastAsia="Times New Roman" w:hAnsi="Times New Roman"/>
          <w:sz w:val="18"/>
          <w:szCs w:val="18"/>
          <w:color w:val="212529"/>
        </w:rPr>
        <w:t xml:space="preserve"> o</w:t>
      </w:r>
      <w:r>
        <w:rPr>
          <w:rFonts w:ascii="Times New Roman" w:cs="Times New Roman" w:eastAsia="Times New Roman" w:hAnsi="Times New Roman"/>
          <w:sz w:val="18"/>
          <w:szCs w:val="18"/>
          <w:color w:val="000000"/>
        </w:rPr>
        <w:t>f $122.6 million</w:t>
      </w:r>
      <w:r>
        <w:rPr>
          <w:rFonts w:ascii="Times New Roman" w:cs="Times New Roman" w:eastAsia="Times New Roman" w:hAnsi="Times New Roman"/>
          <w:sz w:val="18"/>
          <w:szCs w:val="18"/>
          <w:color w:val="212529"/>
        </w:rPr>
        <w:t xml:space="preserve">, as shown on the consolidated balance sheet, represents </w:t>
      </w:r>
      <w:r>
        <w:rPr>
          <w:rFonts w:ascii="Times New Roman" w:cs="Times New Roman" w:eastAsia="Times New Roman" w:hAnsi="Times New Roman"/>
          <w:sz w:val="18"/>
          <w:szCs w:val="18"/>
          <w:color w:val="000000"/>
        </w:rPr>
        <w:t>the current portion of</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 xml:space="preserve">required quarterly principal amortization payments for the Five-Year Tranche of the Term Loan Facilities and production financing facilities. </w:t>
      </w:r>
      <w:r>
        <w:rPr>
          <w:rFonts w:ascii="Times New Roman" w:cs="Times New Roman" w:eastAsia="Times New Roman" w:hAnsi="Times New Roman"/>
          <w:sz w:val="18"/>
          <w:szCs w:val="18"/>
          <w:color w:val="212529"/>
        </w:rPr>
        <w:t>All of the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Company’s other long-term borrowings have contractual maturities that occur subsequent to 2023 with the exception of certain of the Company's production financing facilities and annual principal payments related to the Term Loan Facilities.</w:t>
      </w:r>
    </w:p>
    <w:p>
      <w:pPr>
        <w:spacing w:after="0" w:line="13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fair values of the Company's long-term debt are considered Level 3 fair values (see note 10 for further discussion of the fair value hierarchy) and are measured using the discounted future cash flows method. In addition to the debt terms, the valuation methodology includes an assumption of a discount rate that approximates the current yield on a similar debt security. This assumption is considered an unobservable input in that it reflects the Company's own assumptions about the inputs that market participants would use in pricing the asset or liability. The Company believes that this is the best information available for use in the fair value measurement.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535305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bookmarkStart w:id="18" w:name="page19"/>
    <w:bookmarkEnd w:id="18"/>
    <w:p>
      <w:pPr>
        <w:ind w:left="350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(Millions of Dollars and Shares Except Per Share Data)</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12529"/>
        </w:rPr>
        <w:t>Production Financing</w:t>
      </w:r>
    </w:p>
    <w:p>
      <w:pPr>
        <w:spacing w:after="0" w:line="121"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212529"/>
        </w:rPr>
        <w:t>In addition to the Company's financial instruments, t</w:t>
      </w:r>
      <w:r>
        <w:rPr>
          <w:rFonts w:ascii="Times New Roman" w:cs="Times New Roman" w:eastAsia="Times New Roman" w:hAnsi="Times New Roman"/>
          <w:sz w:val="18"/>
          <w:szCs w:val="18"/>
          <w:color w:val="000000"/>
        </w:rPr>
        <w:t>he Company uses production financing facilities to fund its film and television productions which are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arranged on an individual production basis by either special purpose production subsidiaries, each secured by future revenues of such production subsidiaries, which are non-recourse to the Company's assets, or through a senior revolving credit facility dedicated to production financing obtained in November 2021. The Company's senior revolving film and television production credit facility (the “RPCF”) with MUFG Union Bank, N.A., as administrative agent and lender and certain other financial institutions, as lenders thereto (the “Revolving Production Financing Agreement”) provides the Company with commitments having a maximum aggregate principal amount of $250.0 million. The Revolving Production Financing Agreement also provides the Company with the option to request a commitment increase up to an aggregate additional amount of $150.0 million subject to agreement of the lenders. The Revolving Production Financing Agreement extends through November 22, 2024. The Company uses the RPCF to fund certain of the Company’s original film and TV production costs. Borrowings under the RPCF are non-recourse to the Company's assets. Going forward, the Company expects to utilize the RPCF for the majority of its production financing needs.</w:t>
      </w:r>
    </w:p>
    <w:p>
      <w:pPr>
        <w:spacing w:after="0" w:line="8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Production financing facilities typically have maturities of less than two years, while the titles are in production, and are repaid once delivered and all credits, broadcaster pre-sales and international sales have been received. The production financing facilities as of September 25, 2022, September 26, 2021 and December 26, 2021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25, 2022</w:t>
            </w:r>
          </w:p>
        </w:tc>
        <w:tc>
          <w:tcPr>
            <w:tcW w:w="120" w:type="dxa"/>
            <w:vAlign w:val="bottom"/>
          </w:tcPr>
          <w:p>
            <w:pPr>
              <w:spacing w:after="0"/>
              <w:rPr>
                <w:sz w:val="21"/>
                <w:szCs w:val="21"/>
                <w:color w:val="auto"/>
              </w:rPr>
            </w:pPr>
          </w:p>
        </w:tc>
        <w:tc>
          <w:tcPr>
            <w:tcW w:w="1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September 26, 2021</w:t>
            </w:r>
          </w:p>
        </w:tc>
        <w:tc>
          <w:tcPr>
            <w:tcW w:w="180" w:type="dxa"/>
            <w:vAlign w:val="bottom"/>
          </w:tcPr>
          <w:p>
            <w:pPr>
              <w:spacing w:after="0"/>
              <w:rPr>
                <w:sz w:val="21"/>
                <w:szCs w:val="21"/>
                <w:color w:val="auto"/>
              </w:rPr>
            </w:pPr>
          </w:p>
        </w:tc>
        <w:tc>
          <w:tcPr>
            <w:tcW w:w="17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26, 2021</w:t>
            </w: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Production financing (net of cash)</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30"/>
        </w:trPr>
        <w:tc>
          <w:tcPr>
            <w:tcW w:w="5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Production financing facilities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204.7</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170.1</w:t>
            </w: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237"/>
        </w:trPr>
        <w:tc>
          <w:tcPr>
            <w:tcW w:w="5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r>
      <w:tr>
        <w:trPr>
          <w:trHeight w:val="22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Production financing included in the consolidated balance sheet as:</w:t>
            </w: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30"/>
        </w:trPr>
        <w:tc>
          <w:tcPr>
            <w:tcW w:w="5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Non-current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6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Current</w:t>
            </w:r>
          </w:p>
        </w:tc>
        <w:tc>
          <w:tcPr>
            <w:tcW w:w="1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170.1</w:t>
            </w:r>
          </w:p>
        </w:tc>
      </w:tr>
      <w:tr>
        <w:trPr>
          <w:trHeight w:val="248"/>
        </w:trPr>
        <w:tc>
          <w:tcPr>
            <w:tcW w:w="56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Interest is charged at bank prime rate plus a margin based on the risk of the respective production. The weighted average interest rate on all production financing as of September 25, 2022 was 2.5%.</w:t>
      </w:r>
    </w:p>
    <w:p>
      <w:pPr>
        <w:spacing w:after="0" w:line="5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has Canadian dollar and U.S. dollar production financing loans with various banks. The carrying amounts are denominated in the following currencies: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Canadian Dollars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U.S. Dollars</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5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of September 25, 2022</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43.3</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r>
      <w:tr>
        <w:trPr>
          <w:trHeight w:val="432"/>
        </w:trPr>
        <w:tc>
          <w:tcPr>
            <w:tcW w:w="90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table represents the movements in production financing loans during the first nine months of 2022:</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88"/>
        </w:trPr>
        <w:tc>
          <w:tcPr>
            <w:tcW w:w="5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Production</w:t>
            </w:r>
          </w:p>
        </w:tc>
      </w:tr>
      <w:tr>
        <w:trPr>
          <w:trHeight w:val="238"/>
        </w:trPr>
        <w:tc>
          <w:tcPr>
            <w:tcW w:w="59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5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320" w:type="dxa"/>
            <w:vAlign w:val="bottom"/>
            <w:tcBorders>
              <w:bottom w:val="single" w:sz="8" w:color="CCEEFF"/>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Financing</w:t>
            </w:r>
          </w:p>
        </w:tc>
      </w:tr>
      <w:tr>
        <w:trPr>
          <w:trHeight w:val="223"/>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26, 2021</w:t>
            </w: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w:t>
            </w:r>
          </w:p>
        </w:tc>
      </w:tr>
      <w:tr>
        <w:trPr>
          <w:trHeight w:val="230"/>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Drawdowns</w:t>
            </w: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204.5</w:t>
            </w:r>
          </w:p>
        </w:tc>
      </w:tr>
      <w:tr>
        <w:trPr>
          <w:trHeight w:val="229"/>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Repayments</w:t>
            </w: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w:t>
            </w:r>
          </w:p>
        </w:tc>
      </w:tr>
      <w:tr>
        <w:trPr>
          <w:trHeight w:val="230"/>
        </w:trPr>
        <w:tc>
          <w:tcPr>
            <w:tcW w:w="5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exchange differences</w:t>
            </w:r>
          </w:p>
        </w:tc>
        <w:tc>
          <w:tcPr>
            <w:tcW w:w="14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48"/>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25, 2022</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w:t>
            </w: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expects to repay all of its currently outstanding production financing loans by the third quarter of 2023.</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(8) </w:t>
      </w:r>
      <w:r>
        <w:rPr>
          <w:rFonts w:ascii="Times New Roman" w:cs="Times New Roman" w:eastAsia="Times New Roman" w:hAnsi="Times New Roman"/>
          <w:sz w:val="18"/>
          <w:szCs w:val="18"/>
          <w:b w:val="1"/>
          <w:bCs w:val="1"/>
          <w:u w:val="single" w:color="auto"/>
          <w:color w:val="auto"/>
        </w:rPr>
        <w:t>Investments in Productions and Investments in Acquired Content Rights</w:t>
      </w:r>
    </w:p>
    <w:p>
      <w:pPr>
        <w:spacing w:after="0" w:line="18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Investments in productions and investments in acquired content rights are predominantly monetized on a title-by-title basis and are recorded within other assets in the Company's consolidated balance sheets, to the extent they are considered recoverable against future revenues. These amounts are being amortized to program cost amortization using a model that reflects the consumption of the asset as it is released through various channels including broadcast licenses, theatrical release and home entertainment. Amounts capitalized are reviewed periodically on an individual title basis and any portion of the unamortized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535305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9" w:name="page20"/>
    <w:bookmarkEnd w:id="19"/>
    <w:p>
      <w:pPr>
        <w:ind w:left="350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(Millions of Dollars and Shares Except Per Share Data)</w:t>
      </w:r>
    </w:p>
    <w:p>
      <w:pPr>
        <w:spacing w:after="0" w:line="36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amount that appears not to be recoverable from future net revenues is expensed as part of program cost amortization during the period the loss becomes evident.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unamortized investments in productions and investments in acquired content rights consisted of the following at September 25,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26, 2021, and December 26, 2021:</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September 25, 2022</w:t>
            </w:r>
          </w:p>
        </w:tc>
        <w:tc>
          <w:tcPr>
            <w:tcW w:w="220" w:type="dxa"/>
            <w:vAlign w:val="bottom"/>
          </w:tcPr>
          <w:p>
            <w:pPr>
              <w:spacing w:after="0"/>
              <w:rPr>
                <w:sz w:val="20"/>
                <w:szCs w:val="20"/>
                <w:color w:val="auto"/>
              </w:rPr>
            </w:pPr>
          </w:p>
        </w:tc>
        <w:tc>
          <w:tcPr>
            <w:tcW w:w="20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September 26, 2021</w:t>
            </w:r>
          </w:p>
        </w:tc>
        <w:tc>
          <w:tcPr>
            <w:tcW w:w="240" w:type="dxa"/>
            <w:vAlign w:val="bottom"/>
          </w:tcPr>
          <w:p>
            <w:pPr>
              <w:spacing w:after="0"/>
              <w:rPr>
                <w:sz w:val="20"/>
                <w:szCs w:val="20"/>
                <w:color w:val="auto"/>
              </w:rPr>
            </w:pPr>
          </w:p>
        </w:tc>
        <w:tc>
          <w:tcPr>
            <w:tcW w:w="19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26, 2021</w:t>
            </w:r>
          </w:p>
        </w:tc>
      </w:tr>
      <w:tr>
        <w:trPr>
          <w:trHeight w:val="190"/>
        </w:trPr>
        <w:tc>
          <w:tcPr>
            <w:tcW w:w="20" w:type="dxa"/>
            <w:vAlign w:val="bottom"/>
            <w:tcBorders>
              <w:top w:val="single" w:sz="8" w:color="CCEEFF"/>
            </w:tcBorders>
            <w:shd w:val="clear" w:color="auto" w:fill="CCEEFF"/>
          </w:tcPr>
          <w:p>
            <w:pPr>
              <w:spacing w:after="0"/>
              <w:rPr>
                <w:sz w:val="16"/>
                <w:szCs w:val="16"/>
                <w:color w:val="auto"/>
              </w:rPr>
            </w:pPr>
          </w:p>
        </w:tc>
        <w:tc>
          <w:tcPr>
            <w:tcW w:w="4480" w:type="dxa"/>
            <w:vAlign w:val="bottom"/>
            <w:tcBorders>
              <w:top w:val="single" w:sz="8" w:color="CCEEFF"/>
            </w:tcBorders>
            <w:gridSpan w:val="6"/>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Investment in Films and Television Programs:</w:t>
            </w:r>
          </w:p>
        </w:tc>
        <w:tc>
          <w:tcPr>
            <w:tcW w:w="220" w:type="dxa"/>
            <w:vAlign w:val="bottom"/>
            <w:tcBorders>
              <w:top w:val="single" w:sz="8" w:color="auto"/>
            </w:tcBorders>
            <w:shd w:val="clear" w:color="auto" w:fill="CCEEFF"/>
          </w:tcPr>
          <w:p>
            <w:pPr>
              <w:spacing w:after="0"/>
              <w:rPr>
                <w:sz w:val="16"/>
                <w:szCs w:val="16"/>
                <w:color w:val="auto"/>
              </w:rPr>
            </w:pPr>
          </w:p>
        </w:tc>
        <w:tc>
          <w:tcPr>
            <w:tcW w:w="1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940" w:type="dxa"/>
            <w:vAlign w:val="bottom"/>
            <w:tcBorders>
              <w:top w:val="single" w:sz="8" w:color="auto"/>
            </w:tcBorders>
            <w:shd w:val="clear" w:color="auto" w:fill="CCEEFF"/>
          </w:tcPr>
          <w:p>
            <w:pPr>
              <w:spacing w:after="0"/>
              <w:rPr>
                <w:sz w:val="16"/>
                <w:szCs w:val="16"/>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3200" w:type="dxa"/>
            <w:vAlign w:val="bottom"/>
            <w:tcBorders>
              <w:top w:val="single" w:sz="8" w:color="auto"/>
            </w:tcBorders>
            <w:gridSpan w:val="4"/>
          </w:tcPr>
          <w:p>
            <w:pPr>
              <w:spacing w:after="0" w:line="189" w:lineRule="exact"/>
              <w:rPr>
                <w:sz w:val="20"/>
                <w:szCs w:val="20"/>
                <w:color w:val="auto"/>
              </w:rPr>
            </w:pPr>
            <w:r>
              <w:rPr>
                <w:rFonts w:ascii="Times New Roman" w:cs="Times New Roman" w:eastAsia="Times New Roman" w:hAnsi="Times New Roman"/>
                <w:sz w:val="18"/>
                <w:szCs w:val="18"/>
                <w:color w:val="auto"/>
              </w:rPr>
              <w:t>Individual Monetization</w:t>
            </w:r>
          </w:p>
        </w:tc>
        <w:tc>
          <w:tcPr>
            <w:tcW w:w="116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9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9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940" w:type="dxa"/>
            <w:vAlign w:val="bottom"/>
            <w:tcBorders>
              <w:top w:val="single" w:sz="8" w:color="CCEEFF"/>
            </w:tcBorders>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3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Released, net of amortization</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481.7</w:t>
            </w:r>
          </w:p>
        </w:tc>
      </w:tr>
      <w:tr>
        <w:trPr>
          <w:trHeight w:val="229"/>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Completed and not released</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29"/>
        </w:trPr>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3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In production</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w:t>
            </w:r>
          </w:p>
        </w:tc>
      </w:tr>
      <w:tr>
        <w:trPr>
          <w:trHeight w:val="230"/>
        </w:trPr>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36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8"/>
                <w:szCs w:val="18"/>
                <w:color w:val="auto"/>
              </w:rPr>
              <w:t>Pre-production</w:t>
            </w: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w:t>
            </w:r>
          </w:p>
        </w:tc>
      </w:tr>
      <w:tr>
        <w:trPr>
          <w:trHeight w:val="223"/>
        </w:trPr>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735.8</w:t>
            </w:r>
          </w:p>
        </w:tc>
      </w:tr>
      <w:tr>
        <w:trPr>
          <w:trHeight w:val="169"/>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360" w:type="dxa"/>
            <w:vAlign w:val="bottom"/>
            <w:gridSpan w:val="5"/>
          </w:tcPr>
          <w:p>
            <w:pPr>
              <w:spacing w:after="0" w:line="169" w:lineRule="exact"/>
              <w:rPr>
                <w:sz w:val="20"/>
                <w:szCs w:val="20"/>
                <w:color w:val="auto"/>
              </w:rPr>
            </w:pPr>
            <w:r>
              <w:rPr>
                <w:rFonts w:ascii="Times New Roman" w:cs="Times New Roman" w:eastAsia="Times New Roman" w:hAnsi="Times New Roman"/>
                <w:sz w:val="15"/>
                <w:szCs w:val="15"/>
                <w:color w:val="auto"/>
              </w:rPr>
              <w:t xml:space="preserve">Film/TV Group Monetization </w:t>
            </w:r>
            <w:r>
              <w:rPr>
                <w:rFonts w:ascii="Times New Roman" w:cs="Times New Roman" w:eastAsia="Times New Roman" w:hAnsi="Times New Roman"/>
                <w:sz w:val="19"/>
                <w:szCs w:val="19"/>
                <w:color w:val="auto"/>
                <w:vertAlign w:val="superscript"/>
              </w:rPr>
              <w:t>(1)</w:t>
            </w:r>
          </w:p>
        </w:tc>
        <w:tc>
          <w:tcPr>
            <w:tcW w:w="2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3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Released, net of amortization</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r>
      <w:tr>
        <w:trPr>
          <w:trHeight w:val="229"/>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 production</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r>
      <w:tr>
        <w:trPr>
          <w:trHeight w:val="169"/>
        </w:trPr>
        <w:tc>
          <w:tcPr>
            <w:tcW w:w="20" w:type="dxa"/>
            <w:vAlign w:val="bottom"/>
          </w:tcPr>
          <w:p>
            <w:pPr>
              <w:spacing w:after="0"/>
              <w:rPr>
                <w:sz w:val="14"/>
                <w:szCs w:val="14"/>
                <w:color w:val="auto"/>
              </w:rPr>
            </w:pPr>
          </w:p>
        </w:tc>
        <w:tc>
          <w:tcPr>
            <w:tcW w:w="4480" w:type="dxa"/>
            <w:vAlign w:val="bottom"/>
            <w:gridSpan w:val="6"/>
          </w:tcPr>
          <w:p>
            <w:pPr>
              <w:spacing w:after="0" w:line="169" w:lineRule="exact"/>
              <w:rPr>
                <w:sz w:val="20"/>
                <w:szCs w:val="20"/>
                <w:color w:val="auto"/>
              </w:rPr>
            </w:pPr>
            <w:r>
              <w:rPr>
                <w:rFonts w:ascii="Times New Roman" w:cs="Times New Roman" w:eastAsia="Times New Roman" w:hAnsi="Times New Roman"/>
                <w:sz w:val="18"/>
                <w:szCs w:val="18"/>
                <w:color w:val="auto"/>
              </w:rPr>
              <w:t>Investment in Other Programming</w:t>
            </w:r>
          </w:p>
        </w:tc>
        <w:tc>
          <w:tcPr>
            <w:tcW w:w="2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74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3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Released, net of amortization</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29"/>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Completed and not released</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30"/>
        </w:trPr>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3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In production</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29"/>
        </w:trPr>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36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8"/>
                <w:szCs w:val="18"/>
                <w:color w:val="auto"/>
              </w:rPr>
              <w:t>Pre-production</w:t>
            </w: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3"/>
        </w:trPr>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50"/>
        </w:trPr>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40" w:type="dxa"/>
            <w:vAlign w:val="bottom"/>
          </w:tcPr>
          <w:p>
            <w:pPr>
              <w:spacing w:after="0"/>
              <w:rPr>
                <w:sz w:val="21"/>
                <w:szCs w:val="21"/>
                <w:color w:val="auto"/>
              </w:rPr>
            </w:pPr>
          </w:p>
        </w:tc>
      </w:tr>
      <w:tr>
        <w:trPr>
          <w:trHeight w:val="255"/>
        </w:trPr>
        <w:tc>
          <w:tcPr>
            <w:tcW w:w="2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Program Investments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129" w:lineRule="exact"/>
        <w:rPr>
          <w:sz w:val="20"/>
          <w:szCs w:val="20"/>
          <w:color w:val="auto"/>
        </w:rPr>
      </w:pPr>
    </w:p>
    <w:p>
      <w:pPr>
        <w:ind w:left="180" w:hanging="172"/>
        <w:spacing w:after="0"/>
        <w:tabs>
          <w:tab w:leader="none" w:pos="180" w:val="left"/>
        </w:tabs>
        <w:numPr>
          <w:ilvl w:val="0"/>
          <w:numId w:val="1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Due to a monetization strategy change, as of December 26, 2021 the Company began monetizing certain content assets as a Film/TV group.</w:t>
      </w:r>
    </w:p>
    <w:p>
      <w:pPr>
        <w:spacing w:after="0" w:line="113"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Company recorded $365.7 million of program cost amortization related to released programming in the nine months ended September 25, 2022, consisting of the following:</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Investment in</w:t>
            </w:r>
          </w:p>
        </w:tc>
        <w:tc>
          <w:tcPr>
            <w:tcW w:w="260" w:type="dxa"/>
            <w:vAlign w:val="bottom"/>
          </w:tcPr>
          <w:p>
            <w:pPr>
              <w:spacing w:after="0"/>
              <w:rPr>
                <w:sz w:val="18"/>
                <w:szCs w:val="18"/>
                <w:color w:val="auto"/>
              </w:rPr>
            </w:pPr>
          </w:p>
        </w:tc>
        <w:tc>
          <w:tcPr>
            <w:tcW w:w="13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Investment in</w:t>
            </w:r>
          </w:p>
        </w:tc>
        <w:tc>
          <w:tcPr>
            <w:tcW w:w="400" w:type="dxa"/>
            <w:vAlign w:val="bottom"/>
          </w:tcPr>
          <w:p>
            <w:pPr>
              <w:spacing w:after="0"/>
              <w:rPr>
                <w:sz w:val="18"/>
                <w:szCs w:val="18"/>
                <w:color w:val="auto"/>
              </w:rPr>
            </w:pPr>
          </w:p>
        </w:tc>
        <w:tc>
          <w:tcPr>
            <w:tcW w:w="1640" w:type="dxa"/>
            <w:vAlign w:val="bottom"/>
            <w:gridSpan w:val="3"/>
            <w:vMerge w:val="restart"/>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18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4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Production</w:t>
            </w:r>
          </w:p>
        </w:tc>
        <w:tc>
          <w:tcPr>
            <w:tcW w:w="260" w:type="dxa"/>
            <w:vAlign w:val="bottom"/>
          </w:tcPr>
          <w:p>
            <w:pPr>
              <w:spacing w:after="0"/>
              <w:rPr>
                <w:sz w:val="21"/>
                <w:szCs w:val="21"/>
                <w:color w:val="auto"/>
              </w:rPr>
            </w:pPr>
          </w:p>
        </w:tc>
        <w:tc>
          <w:tcPr>
            <w:tcW w:w="13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Content</w:t>
            </w:r>
          </w:p>
        </w:tc>
        <w:tc>
          <w:tcPr>
            <w:tcW w:w="400" w:type="dxa"/>
            <w:vAlign w:val="bottom"/>
          </w:tcPr>
          <w:p>
            <w:pPr>
              <w:spacing w:after="0"/>
              <w:rPr>
                <w:sz w:val="21"/>
                <w:szCs w:val="21"/>
                <w:color w:val="auto"/>
              </w:rPr>
            </w:pPr>
          </w:p>
        </w:tc>
        <w:tc>
          <w:tcPr>
            <w:tcW w:w="1640" w:type="dxa"/>
            <w:vAlign w:val="bottom"/>
            <w:gridSpan w:val="3"/>
            <w:vMerge w:val="continue"/>
          </w:tcPr>
          <w:p>
            <w:pPr>
              <w:spacing w:after="0"/>
              <w:rPr>
                <w:sz w:val="21"/>
                <w:szCs w:val="21"/>
                <w:color w:val="auto"/>
              </w:rPr>
            </w:pPr>
          </w:p>
        </w:tc>
        <w:tc>
          <w:tcPr>
            <w:tcW w:w="1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84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Program cost amortization</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321.8</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43.9</w:t>
            </w:r>
          </w:p>
        </w:tc>
        <w:tc>
          <w:tcPr>
            <w:tcW w:w="4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365.7</w:t>
            </w:r>
          </w:p>
        </w:tc>
        <w:tc>
          <w:tcPr>
            <w:tcW w:w="0" w:type="dxa"/>
            <w:vAlign w:val="bottom"/>
          </w:tcPr>
          <w:p>
            <w:pPr>
              <w:spacing w:after="0"/>
              <w:rPr>
                <w:sz w:val="1"/>
                <w:szCs w:val="1"/>
                <w:color w:val="auto"/>
              </w:rPr>
            </w:pPr>
          </w:p>
        </w:tc>
      </w:tr>
    </w:tbl>
    <w:p>
      <w:pPr>
        <w:spacing w:after="0" w:line="248" w:lineRule="exact"/>
        <w:rPr>
          <w:sz w:val="20"/>
          <w:szCs w:val="20"/>
          <w:color w:val="auto"/>
        </w:rPr>
      </w:pPr>
    </w:p>
    <w:p>
      <w:pPr>
        <w:ind w:left="260" w:hanging="252"/>
        <w:spacing w:after="0"/>
        <w:tabs>
          <w:tab w:leader="none" w:pos="2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Income Taxes</w:t>
      </w:r>
    </w:p>
    <w:p>
      <w:pPr>
        <w:spacing w:after="0" w:line="18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Company and its subsidiaries file income tax returns in the United States and various state and international jurisdictions. In the normal course of business, the Company is regularly audited by U.S. federal, state and local, and international tax authorities in various tax jurisdictions.</w:t>
      </w:r>
    </w:p>
    <w:p>
      <w:pPr>
        <w:spacing w:after="0" w:line="13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Our effective tax rate ("ETR") from continuing operations was 22.1% for the nine months ended September 25, 2022 and 29.0% for the nine months ended September 26, 2021.</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items caused the year-to-date ETR to be significantly different from the prior year ETR:</w:t>
      </w:r>
    </w:p>
    <w:p>
      <w:pPr>
        <w:spacing w:after="0" w:line="185" w:lineRule="exact"/>
        <w:rPr>
          <w:sz w:val="20"/>
          <w:szCs w:val="20"/>
          <w:color w:val="auto"/>
        </w:rPr>
      </w:pPr>
    </w:p>
    <w:p>
      <w:pPr>
        <w:jc w:val="both"/>
        <w:ind w:left="660" w:right="240" w:hanging="328"/>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nine months ended September 25, 2022, the Company recorded a net discrete tax benefit of $6.7 million primarily associated with (i) the release of certain valuation allowances during the first quarter; (ii) the decrease to our liability for uncertain tax positions that resulted from statutes of limitations expiring in certain jurisdictions; and (iii) a benefit on the loss of assets held for sale in the third quarter; and</w:t>
      </w:r>
    </w:p>
    <w:p>
      <w:pPr>
        <w:spacing w:after="0" w:line="148" w:lineRule="exact"/>
        <w:rPr>
          <w:rFonts w:ascii="Times New Roman" w:cs="Times New Roman" w:eastAsia="Times New Roman" w:hAnsi="Times New Roman"/>
          <w:sz w:val="18"/>
          <w:szCs w:val="18"/>
          <w:color w:val="auto"/>
        </w:rPr>
      </w:pPr>
    </w:p>
    <w:p>
      <w:pPr>
        <w:ind w:left="660" w:right="160" w:hanging="328"/>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nine months ended September 26, 2021, the Company recorded a net discrete tax expense of $8.8 million primarily associated with (i) the revaluation of net deferred tax liabilities as a result of the United Kingdom's ("UK") enactment of the Finance Act 2021 during the second quarter, which increases the UK corporate income tax rate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530860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20" w:name="page21"/>
    <w:bookmarkEnd w:id="20"/>
    <w:p>
      <w:pPr>
        <w:ind w:left="350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(Millions of Dollars and Shares Except Per Share Data)</w:t>
      </w:r>
    </w:p>
    <w:p>
      <w:pPr>
        <w:spacing w:after="0" w:line="200" w:lineRule="exact"/>
        <w:rPr>
          <w:sz w:val="20"/>
          <w:szCs w:val="20"/>
          <w:color w:val="auto"/>
        </w:rPr>
      </w:pPr>
    </w:p>
    <w:p>
      <w:pPr>
        <w:spacing w:after="0" w:line="343" w:lineRule="exact"/>
        <w:rPr>
          <w:sz w:val="20"/>
          <w:szCs w:val="20"/>
          <w:color w:val="auto"/>
        </w:rPr>
      </w:pPr>
    </w:p>
    <w:p>
      <w:pPr>
        <w:jc w:val="both"/>
        <w:ind w:left="660" w:right="160"/>
        <w:spacing w:after="0" w:line="261" w:lineRule="auto"/>
        <w:rPr>
          <w:sz w:val="20"/>
          <w:szCs w:val="20"/>
          <w:color w:val="auto"/>
        </w:rPr>
      </w:pPr>
      <w:r>
        <w:rPr>
          <w:rFonts w:ascii="Times New Roman" w:cs="Times New Roman" w:eastAsia="Times New Roman" w:hAnsi="Times New Roman"/>
          <w:sz w:val="18"/>
          <w:szCs w:val="18"/>
          <w:color w:val="auto"/>
        </w:rPr>
        <w:t>19% to 25% as of April 1, 2023; (ii) a one-time tax charge related to an ongoing tax audit; (iii) release of a valuation allowance on net operating losses that offset income received from a one-time legal settlement; and (iv) certain tax benefits, including the reversal of uncertain tax positions and operational tax planning. The year-to-date 2021 ETR also included a goodwill impairment charge on the sale of the eOne Music from which there was no corresponding tax benefit.</w:t>
      </w:r>
    </w:p>
    <w:p>
      <w:pPr>
        <w:spacing w:after="0" w:line="12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May 2019, a public referendum held in Switzerland approved the Swiss Federal Act on Tax Reform and AHV Financing ("TRAF") proposals previously approved by the Swiss Parliament. The Swiss tax reform measures were effective on January 1, 2020. Changes in tax reform include the abolishment of preferential tax regimes for holding companies, domicile companies and mixed companies at the cantonal level. The enacted changes in Swiss federal and cantonal tax, including cantonal transitional provisions adopted in 2021, were not material to the Company's financial statements.</w:t>
      </w:r>
    </w:p>
    <w:p>
      <w:pPr>
        <w:spacing w:after="0" w:line="12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 is no longer subject to U.S. federal income tax examinations for years before 2012. With few exceptions, the Company is no longer subject to U.S. state or local and non-U.S. income tax examinations by tax authorities in its major jurisdictions for years before 2016. The Company is currently under income tax examination by the Internal Revenue Service and in several U.S. state and local and non-U.S. jurisdictions.</w:t>
      </w:r>
    </w:p>
    <w:p>
      <w:pPr>
        <w:spacing w:after="0" w:line="6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On August 16, 2022, President Biden signed into law the Inflation Reduction Act, which included various tax provisions. The two main tax provisions, a 15% alternative corporate minimum tax based on financial statement income and a 1% excise tax on corporate stock buy backs, are not expected to have a material impact to the Company.</w:t>
      </w:r>
    </w:p>
    <w:p>
      <w:pPr>
        <w:spacing w:after="0" w:line="145" w:lineRule="exact"/>
        <w:rPr>
          <w:sz w:val="20"/>
          <w:szCs w:val="20"/>
          <w:color w:val="auto"/>
        </w:rPr>
      </w:pPr>
    </w:p>
    <w:p>
      <w:pPr>
        <w:ind w:left="360" w:hanging="352"/>
        <w:spacing w:after="0"/>
        <w:tabs>
          <w:tab w:leader="none" w:pos="3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Fair Value of Financial Instruments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measures certain financial instruments at fair value. The fair value hierarchy consists of three levels: Level 1 fair values are based on quoted market prices in active markets for identical assets or liabilities that the entity has the ability to access; Level 2 fair values are those based on quoted prices for similar assets or liabilities, quoted prices in markets that are not active, or other inputs that are observable or can be corroborated by observable data for substantially the full term of the assets or liabilities; and Level 3 fair values are based on inputs that are supported by little or no market activity and that are significant to the fair value of the assets or liabilities. There have been transfers between levels within the fair value hierarchy.</w:t>
      </w:r>
    </w:p>
    <w:p>
      <w:pPr>
        <w:spacing w:after="0" w:line="14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Accounting standards permit entities to measure many financial instruments and certain other items at fair value and establish presentation and disclosure requirements designed to facilitate comparisons between entities that choose different measurement attributes for similar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521335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bookmarkStart w:id="21" w:name="page22"/>
    <w:bookmarkEnd w:id="21"/>
    <w:p>
      <w:pPr>
        <w:ind w:left="350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(Millions of Dollars and Shares Except Per Share Data)</w:t>
      </w:r>
    </w:p>
    <w:p>
      <w:pPr>
        <w:spacing w:after="0" w:line="200" w:lineRule="exact"/>
        <w:rPr>
          <w:sz w:val="20"/>
          <w:szCs w:val="20"/>
          <w:color w:val="auto"/>
        </w:rPr>
      </w:pPr>
    </w:p>
    <w:p>
      <w:pPr>
        <w:spacing w:after="0" w:line="343"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At September 25, 2022, September 26, 2021 and December 26, 2021, the Company had the following assets and liabilities measured at fair value in its consolidated balance sheets (excluding assets for which the fair value is measured using net asset value per share):</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Fair Value Measurements Using:</w:t>
            </w:r>
          </w:p>
        </w:tc>
        <w:tc>
          <w:tcPr>
            <w:tcW w:w="132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tcPr>
          <w:p>
            <w:pPr>
              <w:jc w:val="center"/>
              <w:ind w:right="100"/>
              <w:spacing w:after="0" w:line="155" w:lineRule="exact"/>
              <w:rPr>
                <w:sz w:val="20"/>
                <w:szCs w:val="20"/>
                <w:color w:val="auto"/>
              </w:rPr>
            </w:pPr>
            <w:r>
              <w:rPr>
                <w:rFonts w:ascii="Times New Roman" w:cs="Times New Roman" w:eastAsia="Times New Roman" w:hAnsi="Times New Roman"/>
                <w:sz w:val="16"/>
                <w:szCs w:val="16"/>
                <w:b w:val="1"/>
                <w:bCs w:val="1"/>
                <w:color w:val="auto"/>
              </w:rPr>
              <w:t>Quoted</w:t>
            </w: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Prices in</w:t>
            </w: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Active</w:t>
            </w:r>
          </w:p>
        </w:tc>
        <w:tc>
          <w:tcPr>
            <w:tcW w:w="14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1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Markets</w:t>
            </w:r>
          </w:p>
        </w:tc>
        <w:tc>
          <w:tcPr>
            <w:tcW w:w="1440" w:type="dxa"/>
            <w:vAlign w:val="bottom"/>
            <w:gridSpan w:val="2"/>
            <w:vMerge w:val="continue"/>
          </w:tcPr>
          <w:p>
            <w:pPr>
              <w:spacing w:after="0"/>
              <w:rPr>
                <w:sz w:val="14"/>
                <w:szCs w:val="14"/>
                <w:color w:val="auto"/>
              </w:rPr>
            </w:pPr>
          </w:p>
        </w:tc>
        <w:tc>
          <w:tcPr>
            <w:tcW w:w="136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7"/>
              </w:rPr>
              <w:t>for</w:t>
            </w:r>
          </w:p>
        </w:tc>
        <w:tc>
          <w:tcPr>
            <w:tcW w:w="144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13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Fair</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Identical</w:t>
            </w:r>
          </w:p>
        </w:tc>
        <w:tc>
          <w:tcPr>
            <w:tcW w:w="144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Observable</w:t>
            </w:r>
          </w:p>
        </w:tc>
        <w:tc>
          <w:tcPr>
            <w:tcW w:w="1360" w:type="dxa"/>
            <w:vAlign w:val="bottom"/>
            <w:gridSpan w:val="2"/>
          </w:tcPr>
          <w:p>
            <w:pPr>
              <w:jc w:val="center"/>
              <w:ind w:right="40"/>
              <w:spacing w:after="0" w:line="162" w:lineRule="exact"/>
              <w:rPr>
                <w:sz w:val="20"/>
                <w:szCs w:val="20"/>
                <w:color w:val="auto"/>
              </w:rPr>
            </w:pPr>
            <w:r>
              <w:rPr>
                <w:rFonts w:ascii="Times New Roman" w:cs="Times New Roman" w:eastAsia="Times New Roman" w:hAnsi="Times New Roman"/>
                <w:sz w:val="16"/>
                <w:szCs w:val="16"/>
                <w:b w:val="1"/>
                <w:bCs w:val="1"/>
                <w:color w:val="auto"/>
              </w:rPr>
              <w:t>Unobservable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Assets</w:t>
            </w:r>
          </w:p>
        </w:tc>
        <w:tc>
          <w:tcPr>
            <w:tcW w:w="144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Inputs</w:t>
            </w:r>
          </w:p>
        </w:tc>
        <w:tc>
          <w:tcPr>
            <w:tcW w:w="1360" w:type="dxa"/>
            <w:vAlign w:val="bottom"/>
            <w:gridSpan w:val="2"/>
          </w:tcPr>
          <w:p>
            <w:pPr>
              <w:jc w:val="center"/>
              <w:ind w:right="40"/>
              <w:spacing w:after="0" w:line="162" w:lineRule="exact"/>
              <w:rPr>
                <w:sz w:val="20"/>
                <w:szCs w:val="20"/>
                <w:color w:val="auto"/>
              </w:rPr>
            </w:pPr>
            <w:r>
              <w:rPr>
                <w:rFonts w:ascii="Times New Roman" w:cs="Times New Roman" w:eastAsia="Times New Roman" w:hAnsi="Times New Roman"/>
                <w:sz w:val="16"/>
                <w:szCs w:val="16"/>
                <w:b w:val="1"/>
                <w:bCs w:val="1"/>
                <w:color w:val="auto"/>
                <w:w w:val="98"/>
              </w:rPr>
              <w:t>Inputs</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Value</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36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(Level 3)</w:t>
            </w:r>
          </w:p>
        </w:tc>
        <w:tc>
          <w:tcPr>
            <w:tcW w:w="0" w:type="dxa"/>
            <w:vAlign w:val="bottom"/>
          </w:tcPr>
          <w:p>
            <w:pPr>
              <w:spacing w:after="0"/>
              <w:rPr>
                <w:sz w:val="1"/>
                <w:szCs w:val="1"/>
                <w:color w:val="auto"/>
              </w:rPr>
            </w:pPr>
          </w:p>
        </w:tc>
      </w:tr>
      <w:tr>
        <w:trPr>
          <w:trHeight w:val="191"/>
        </w:trPr>
        <w:tc>
          <w:tcPr>
            <w:tcW w:w="20" w:type="dxa"/>
            <w:vAlign w:val="bottom"/>
            <w:tcBorders>
              <w:top w:val="single" w:sz="8" w:color="CCEEFF"/>
            </w:tcBorders>
            <w:shd w:val="clear" w:color="auto" w:fill="CCEEFF"/>
          </w:tcPr>
          <w:p>
            <w:pPr>
              <w:spacing w:after="0"/>
              <w:rPr>
                <w:sz w:val="16"/>
                <w:szCs w:val="16"/>
                <w:color w:val="auto"/>
              </w:rPr>
            </w:pPr>
          </w:p>
        </w:tc>
        <w:tc>
          <w:tcPr>
            <w:tcW w:w="5580" w:type="dxa"/>
            <w:vAlign w:val="bottom"/>
            <w:tcBorders>
              <w:top w:val="single" w:sz="8" w:color="CCEEFF"/>
            </w:tcBorders>
            <w:gridSpan w:val="3"/>
            <w:shd w:val="clear" w:color="auto" w:fill="CCEEFF"/>
          </w:tcPr>
          <w:p>
            <w:pPr>
              <w:spacing w:after="0" w:line="171" w:lineRule="exact"/>
              <w:rPr>
                <w:sz w:val="20"/>
                <w:szCs w:val="20"/>
                <w:color w:val="auto"/>
              </w:rPr>
            </w:pPr>
            <w:r>
              <w:rPr>
                <w:rFonts w:ascii="Times New Roman" w:cs="Times New Roman" w:eastAsia="Times New Roman" w:hAnsi="Times New Roman"/>
                <w:sz w:val="18"/>
                <w:szCs w:val="18"/>
                <w:b w:val="1"/>
                <w:bCs w:val="1"/>
                <w:color w:val="auto"/>
              </w:rPr>
              <w:t>September 25, 2022</w:t>
            </w:r>
          </w:p>
        </w:tc>
        <w:tc>
          <w:tcPr>
            <w:tcW w:w="88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15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080" w:type="dxa"/>
            <w:vAlign w:val="bottom"/>
            <w:tcBorders>
              <w:top w:val="single" w:sz="8" w:color="CCEEFF"/>
            </w:tcBorders>
          </w:tcPr>
          <w:p>
            <w:pPr>
              <w:spacing w:after="0"/>
              <w:rPr>
                <w:sz w:val="19"/>
                <w:szCs w:val="19"/>
                <w:color w:val="auto"/>
              </w:rPr>
            </w:pPr>
          </w:p>
        </w:tc>
        <w:tc>
          <w:tcPr>
            <w:tcW w:w="88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3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3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320" w:type="dxa"/>
            <w:vAlign w:val="bottom"/>
            <w:tcBorders>
              <w:top w:val="single" w:sz="8" w:color="CCEEFF"/>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880" w:type="dxa"/>
            <w:vAlign w:val="bottom"/>
            <w:shd w:val="clear" w:color="auto" w:fill="CCEEFF"/>
          </w:tcPr>
          <w:p>
            <w:pPr>
              <w:jc w:val="right"/>
              <w:ind w:right="691"/>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Derivatives</w:t>
            </w:r>
          </w:p>
        </w:tc>
        <w:tc>
          <w:tcPr>
            <w:tcW w:w="8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5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880" w:type="dxa"/>
            <w:vAlign w:val="bottom"/>
            <w:tcBorders>
              <w:top w:val="single" w:sz="8" w:color="auto"/>
              <w:bottom w:val="single" w:sz="8" w:color="auto"/>
            </w:tcBorders>
            <w:shd w:val="clear" w:color="auto" w:fill="CCEEFF"/>
          </w:tcPr>
          <w:p>
            <w:pPr>
              <w:jc w:val="right"/>
              <w:ind w:right="691"/>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8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Derivatives</w:t>
            </w:r>
          </w:p>
        </w:tc>
        <w:tc>
          <w:tcPr>
            <w:tcW w:w="880" w:type="dxa"/>
            <w:vAlign w:val="bottom"/>
          </w:tcPr>
          <w:p>
            <w:pPr>
              <w:jc w:val="right"/>
              <w:ind w:right="691"/>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 agreement</w:t>
            </w:r>
          </w:p>
        </w:tc>
        <w:tc>
          <w:tcPr>
            <w:tcW w:w="8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880" w:type="dxa"/>
            <w:vAlign w:val="bottom"/>
            <w:tcBorders>
              <w:top w:val="single" w:sz="8" w:color="auto"/>
              <w:bottom w:val="single" w:sz="8" w:color="auto"/>
            </w:tcBorders>
          </w:tcPr>
          <w:p>
            <w:pPr>
              <w:jc w:val="right"/>
              <w:ind w:right="691"/>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8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September 26, 2021</w:t>
            </w:r>
          </w:p>
        </w:tc>
        <w:tc>
          <w:tcPr>
            <w:tcW w:w="8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880" w:type="dxa"/>
            <w:vAlign w:val="bottom"/>
          </w:tcPr>
          <w:p>
            <w:pPr>
              <w:jc w:val="right"/>
              <w:ind w:right="691"/>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Derivatives</w:t>
            </w:r>
          </w:p>
        </w:tc>
        <w:tc>
          <w:tcPr>
            <w:tcW w:w="8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880" w:type="dxa"/>
            <w:vAlign w:val="bottom"/>
            <w:tcBorders>
              <w:top w:val="single" w:sz="8" w:color="auto"/>
              <w:bottom w:val="single" w:sz="8" w:color="auto"/>
            </w:tcBorders>
          </w:tcPr>
          <w:p>
            <w:pPr>
              <w:jc w:val="right"/>
              <w:ind w:right="691"/>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Derivatives</w:t>
            </w:r>
          </w:p>
        </w:tc>
        <w:tc>
          <w:tcPr>
            <w:tcW w:w="880" w:type="dxa"/>
            <w:vAlign w:val="bottom"/>
            <w:shd w:val="clear" w:color="auto" w:fill="CCEEFF"/>
          </w:tcPr>
          <w:p>
            <w:pPr>
              <w:jc w:val="right"/>
              <w:ind w:right="691"/>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Option agreement</w:t>
            </w:r>
          </w:p>
        </w:tc>
        <w:tc>
          <w:tcPr>
            <w:tcW w:w="8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5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880" w:type="dxa"/>
            <w:vAlign w:val="bottom"/>
            <w:tcBorders>
              <w:top w:val="single" w:sz="8" w:color="auto"/>
              <w:bottom w:val="single" w:sz="8" w:color="auto"/>
            </w:tcBorders>
            <w:shd w:val="clear" w:color="auto" w:fill="CCEEFF"/>
          </w:tcPr>
          <w:p>
            <w:pPr>
              <w:jc w:val="right"/>
              <w:ind w:right="691"/>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8"/>
              </w:rPr>
              <w:t>December 26, 2021</w:t>
            </w:r>
          </w:p>
        </w:tc>
        <w:tc>
          <w:tcPr>
            <w:tcW w:w="4120" w:type="dxa"/>
            <w:vAlign w:val="bottom"/>
            <w:tcBorders>
              <w:bottom w:val="single" w:sz="8" w:color="CCEEFF"/>
            </w:tcBorders>
            <w:gridSpan w:val="2"/>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880" w:type="dxa"/>
            <w:vAlign w:val="bottom"/>
            <w:shd w:val="clear" w:color="auto" w:fill="CCEEFF"/>
          </w:tcPr>
          <w:p>
            <w:pPr>
              <w:jc w:val="right"/>
              <w:ind w:right="691"/>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Derivatives</w:t>
            </w:r>
          </w:p>
        </w:tc>
        <w:tc>
          <w:tcPr>
            <w:tcW w:w="8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5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880" w:type="dxa"/>
            <w:vAlign w:val="bottom"/>
            <w:tcBorders>
              <w:top w:val="single" w:sz="8" w:color="auto"/>
              <w:bottom w:val="single" w:sz="8" w:color="auto"/>
            </w:tcBorders>
            <w:shd w:val="clear" w:color="auto" w:fill="CCEEFF"/>
          </w:tcPr>
          <w:p>
            <w:pPr>
              <w:jc w:val="right"/>
              <w:ind w:right="691"/>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8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Derivatives</w:t>
            </w:r>
          </w:p>
        </w:tc>
        <w:tc>
          <w:tcPr>
            <w:tcW w:w="880" w:type="dxa"/>
            <w:vAlign w:val="bottom"/>
          </w:tcPr>
          <w:p>
            <w:pPr>
              <w:jc w:val="right"/>
              <w:ind w:right="691"/>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 agreement</w:t>
            </w:r>
          </w:p>
        </w:tc>
        <w:tc>
          <w:tcPr>
            <w:tcW w:w="8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880" w:type="dxa"/>
            <w:vAlign w:val="bottom"/>
            <w:tcBorders>
              <w:top w:val="single" w:sz="8" w:color="auto"/>
              <w:bottom w:val="single" w:sz="8" w:color="auto"/>
            </w:tcBorders>
          </w:tcPr>
          <w:p>
            <w:pPr>
              <w:jc w:val="right"/>
              <w:ind w:right="691"/>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7"/>
        </w:trPr>
        <w:tc>
          <w:tcPr>
            <w:tcW w:w="2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22" w:name="page23"/>
    <w:bookmarkEnd w:id="22"/>
    <w:p>
      <w:pPr>
        <w:ind w:left="350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(Millions of Dollars and Shares Except Per Share Data)</w:t>
      </w:r>
    </w:p>
    <w:p>
      <w:pPr>
        <w:spacing w:after="0" w:line="200" w:lineRule="exact"/>
        <w:rPr>
          <w:sz w:val="20"/>
          <w:szCs w:val="20"/>
          <w:color w:val="auto"/>
        </w:rPr>
      </w:pPr>
    </w:p>
    <w:p>
      <w:pPr>
        <w:spacing w:after="0" w:line="343"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The Company's derivatives consist of foreign currency forward and option contracts. The Company uses current forward rates of the respective foreign currencies to measure the fair value of these contracts. The Company’s option agreement relates to an equity method investment in Discovery Family Channel ("Discovery"). The option agreement is included in other liabilities at September 25, 2022, September 26, 2021 and December 26, 2021, and is valued using an option pricing model based on the fair value of the related investment. Inputs used in the option pricing model include the volatility and fair value of the underlying company which are considered unobservable inputs as they reflect the Company's own assumptions about the inputs that market participants would use in pricing the asset or liability. The Company believes that this is the best information available for use in the fair value measurement. Due to the 2021 revaluation of the Discovery investment and resulting impairment charges, the Company reduced the option's fair value by $20.1 million during the fourth quarter of 2021. There were no changes in these valuation techniques during the quarter ended September 25, 2022.</w:t>
      </w:r>
    </w:p>
    <w:p>
      <w:pPr>
        <w:spacing w:after="0" w:line="16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the beginning and ending balances of the fair value measurements of the Company's financial instruments which use significant unobservable inputs (Level 3):</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4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4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90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2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from change in fair value</w:t>
            </w:r>
          </w:p>
        </w:tc>
        <w:tc>
          <w:tcPr>
            <w:tcW w:w="900" w:type="dxa"/>
            <w:vAlign w:val="bottom"/>
          </w:tcPr>
          <w:p>
            <w:pPr>
              <w:spacing w:after="0"/>
              <w:rPr>
                <w:sz w:val="19"/>
                <w:szCs w:val="19"/>
                <w:color w:val="auto"/>
              </w:rPr>
            </w:pPr>
          </w:p>
        </w:tc>
        <w:tc>
          <w:tcPr>
            <w:tcW w:w="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48"/>
        </w:trPr>
        <w:tc>
          <w:tcPr>
            <w:tcW w:w="8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third quarter</w:t>
            </w:r>
          </w:p>
        </w:tc>
        <w:tc>
          <w:tcPr>
            <w:tcW w:w="900" w:type="dxa"/>
            <w:vAlign w:val="bottom"/>
            <w:tcBorders>
              <w:top w:val="single" w:sz="8" w:color="auto"/>
              <w:bottom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Derivative Financial Instruments</w:t>
      </w:r>
    </w:p>
    <w:p>
      <w:pPr>
        <w:spacing w:after="0" w:line="20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Hasbro uses foreign currency forward contracts to mitigate the impact of currency rate fluctuations on firmly committed and projected future foreign currency transactions. These over-the-counter contracts, which hedge future currency requirements related to purchases of inventory, product sales, television and film production cost and production financing loans (see note 7) as well as other cross-border transactions not denominated in the functional currency of the business unit, are primarily denominated in United States and Hong Kong dollars, and Euros. All contracts are entered into with a number of counterparties, all of which are major financial institutions. The Company believes that a default by a single counterparty would not have a material adverse effect on the financial condition of the Company. Hasbro does not enter into derivative financial instruments for speculative purposes.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Cash Flow Hedges</w:t>
      </w:r>
    </w:p>
    <w:p>
      <w:pPr>
        <w:spacing w:after="0" w:line="18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All of the Company's designated foreign currency forward contracts are considered to be cash flow hedges. These instruments hedge a portion of the Company's currency requirements associated with anticipated inventory purchases, product sales, certain production financing loans and other cross-border transactions, primarily for the remainder of 2022, 2023, and to a lesser extent, 2024.</w:t>
      </w:r>
    </w:p>
    <w:p>
      <w:pPr>
        <w:spacing w:after="0" w:line="203"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At September 25, 2022, September 26, 2021 and December 26, 2021, the notional amounts and fair values of the Company's foreign currency forward contracts designated as cash flow hedging instruments were as follows: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gridSpan w:val="3"/>
          </w:tcPr>
          <w:p>
            <w:pPr>
              <w:ind w:left="380"/>
              <w:spacing w:after="0"/>
              <w:rPr>
                <w:sz w:val="20"/>
                <w:szCs w:val="20"/>
                <w:color w:val="auto"/>
              </w:rPr>
            </w:pPr>
            <w:r>
              <w:rPr>
                <w:rFonts w:ascii="Times New Roman" w:cs="Times New Roman" w:eastAsia="Times New Roman" w:hAnsi="Times New Roman"/>
                <w:sz w:val="18"/>
                <w:szCs w:val="18"/>
                <w:b w:val="1"/>
                <w:bCs w:val="1"/>
                <w:color w:val="auto"/>
              </w:rPr>
              <w:t>September 25, 2022</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00" w:type="dxa"/>
            <w:vAlign w:val="bottom"/>
            <w:gridSpan w:val="3"/>
          </w:tcPr>
          <w:p>
            <w:pPr>
              <w:ind w:left="400"/>
              <w:spacing w:after="0"/>
              <w:rPr>
                <w:sz w:val="20"/>
                <w:szCs w:val="20"/>
                <w:color w:val="auto"/>
              </w:rPr>
            </w:pPr>
            <w:r>
              <w:rPr>
                <w:rFonts w:ascii="Times New Roman" w:cs="Times New Roman" w:eastAsia="Times New Roman" w:hAnsi="Times New Roman"/>
                <w:sz w:val="18"/>
                <w:szCs w:val="18"/>
                <w:b w:val="1"/>
                <w:bCs w:val="1"/>
                <w:color w:val="auto"/>
              </w:rPr>
              <w:t>September 26, 2021</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60" w:type="dxa"/>
            <w:vAlign w:val="bottom"/>
            <w:gridSpan w:val="4"/>
          </w:tcPr>
          <w:p>
            <w:pPr>
              <w:ind w:left="420"/>
              <w:spacing w:after="0"/>
              <w:rPr>
                <w:sz w:val="20"/>
                <w:szCs w:val="20"/>
                <w:color w:val="auto"/>
              </w:rPr>
            </w:pPr>
            <w:r>
              <w:rPr>
                <w:rFonts w:ascii="Times New Roman" w:cs="Times New Roman" w:eastAsia="Times New Roman" w:hAnsi="Times New Roman"/>
                <w:sz w:val="18"/>
                <w:szCs w:val="18"/>
                <w:b w:val="1"/>
                <w:bCs w:val="1"/>
                <w:color w:val="auto"/>
              </w:rPr>
              <w:t>December 26, 2021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7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Hedged transaction</w:t>
            </w:r>
          </w:p>
        </w:tc>
        <w:tc>
          <w:tcPr>
            <w:tcW w:w="2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gridSpan w:val="2"/>
          </w:tcPr>
          <w:p>
            <w:pPr>
              <w:ind w:left="100"/>
              <w:spacing w:after="0" w:line="169" w:lineRule="exact"/>
              <w:rPr>
                <w:sz w:val="20"/>
                <w:szCs w:val="20"/>
                <w:color w:val="auto"/>
              </w:rPr>
            </w:pPr>
            <w:r>
              <w:rPr>
                <w:rFonts w:ascii="Times New Roman" w:cs="Times New Roman" w:eastAsia="Times New Roman" w:hAnsi="Times New Roman"/>
                <w:sz w:val="18"/>
                <w:szCs w:val="18"/>
                <w:b w:val="1"/>
                <w:bCs w:val="1"/>
                <w:color w:val="auto"/>
              </w:rPr>
              <w:t>Notional</w:t>
            </w:r>
          </w:p>
        </w:tc>
        <w:tc>
          <w:tcPr>
            <w:tcW w:w="880" w:type="dxa"/>
            <w:vAlign w:val="bottom"/>
            <w:tcBorders>
              <w:top w:val="single" w:sz="8" w:color="auto"/>
            </w:tcBorders>
          </w:tcPr>
          <w:p>
            <w:pPr>
              <w:jc w:val="center"/>
              <w:ind w:left="330"/>
              <w:spacing w:after="0" w:line="169" w:lineRule="exact"/>
              <w:rPr>
                <w:sz w:val="20"/>
                <w:szCs w:val="20"/>
                <w:color w:val="auto"/>
              </w:rPr>
            </w:pPr>
            <w:r>
              <w:rPr>
                <w:rFonts w:ascii="Times New Roman" w:cs="Times New Roman" w:eastAsia="Times New Roman" w:hAnsi="Times New Roman"/>
                <w:sz w:val="18"/>
                <w:szCs w:val="18"/>
                <w:b w:val="1"/>
                <w:bCs w:val="1"/>
                <w:color w:val="auto"/>
              </w:rPr>
              <w:t>Fair</w:t>
            </w:r>
          </w:p>
        </w:tc>
        <w:tc>
          <w:tcPr>
            <w:tcW w:w="4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gridSpan w:val="2"/>
          </w:tcPr>
          <w:p>
            <w:pPr>
              <w:ind w:left="100"/>
              <w:spacing w:after="0" w:line="169" w:lineRule="exact"/>
              <w:rPr>
                <w:sz w:val="20"/>
                <w:szCs w:val="20"/>
                <w:color w:val="auto"/>
              </w:rPr>
            </w:pPr>
            <w:r>
              <w:rPr>
                <w:rFonts w:ascii="Times New Roman" w:cs="Times New Roman" w:eastAsia="Times New Roman" w:hAnsi="Times New Roman"/>
                <w:sz w:val="18"/>
                <w:szCs w:val="18"/>
                <w:b w:val="1"/>
                <w:bCs w:val="1"/>
                <w:color w:val="auto"/>
              </w:rPr>
              <w:t>Notional</w:t>
            </w:r>
          </w:p>
        </w:tc>
        <w:tc>
          <w:tcPr>
            <w:tcW w:w="900" w:type="dxa"/>
            <w:vAlign w:val="bottom"/>
            <w:tcBorders>
              <w:top w:val="single" w:sz="8" w:color="auto"/>
            </w:tcBorders>
          </w:tcPr>
          <w:p>
            <w:pPr>
              <w:jc w:val="center"/>
              <w:ind w:left="330"/>
              <w:spacing w:after="0" w:line="169"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4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gridSpan w:val="2"/>
          </w:tcPr>
          <w:p>
            <w:pPr>
              <w:ind w:left="100"/>
              <w:spacing w:after="0" w:line="169" w:lineRule="exact"/>
              <w:rPr>
                <w:sz w:val="20"/>
                <w:szCs w:val="20"/>
                <w:color w:val="auto"/>
              </w:rPr>
            </w:pPr>
            <w:r>
              <w:rPr>
                <w:rFonts w:ascii="Times New Roman" w:cs="Times New Roman" w:eastAsia="Times New Roman" w:hAnsi="Times New Roman"/>
                <w:sz w:val="18"/>
                <w:szCs w:val="18"/>
                <w:b w:val="1"/>
                <w:bCs w:val="1"/>
                <w:color w:val="auto"/>
              </w:rPr>
              <w:t>Notional</w:t>
            </w:r>
          </w:p>
        </w:tc>
        <w:tc>
          <w:tcPr>
            <w:tcW w:w="13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rPr>
              <w:t>Fair</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tcPr>
          <w:p>
            <w:pPr>
              <w:ind w:left="120"/>
              <w:spacing w:after="0" w:line="202" w:lineRule="exact"/>
              <w:rPr>
                <w:sz w:val="20"/>
                <w:szCs w:val="20"/>
                <w:color w:val="auto"/>
              </w:rPr>
            </w:pPr>
            <w:r>
              <w:rPr>
                <w:rFonts w:ascii="Times New Roman" w:cs="Times New Roman" w:eastAsia="Times New Roman" w:hAnsi="Times New Roman"/>
                <w:sz w:val="18"/>
                <w:szCs w:val="18"/>
                <w:b w:val="1"/>
                <w:bCs w:val="1"/>
                <w:color w:val="auto"/>
              </w:rPr>
              <w:t>Amount</w:t>
            </w:r>
          </w:p>
        </w:tc>
        <w:tc>
          <w:tcPr>
            <w:tcW w:w="880" w:type="dxa"/>
            <w:vAlign w:val="bottom"/>
          </w:tcPr>
          <w:p>
            <w:pPr>
              <w:jc w:val="center"/>
              <w:ind w:left="330"/>
              <w:spacing w:after="0" w:line="202" w:lineRule="exact"/>
              <w:rPr>
                <w:sz w:val="20"/>
                <w:szCs w:val="20"/>
                <w:color w:val="auto"/>
              </w:rPr>
            </w:pPr>
            <w:r>
              <w:rPr>
                <w:rFonts w:ascii="Times New Roman" w:cs="Times New Roman" w:eastAsia="Times New Roman" w:hAnsi="Times New Roman"/>
                <w:sz w:val="18"/>
                <w:szCs w:val="18"/>
                <w:b w:val="1"/>
                <w:bCs w:val="1"/>
                <w:color w:val="auto"/>
                <w:w w:val="93"/>
              </w:rPr>
              <w:t>Value</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tcPr>
          <w:p>
            <w:pPr>
              <w:ind w:left="120"/>
              <w:spacing w:after="0" w:line="202" w:lineRule="exact"/>
              <w:rPr>
                <w:sz w:val="20"/>
                <w:szCs w:val="20"/>
                <w:color w:val="auto"/>
              </w:rPr>
            </w:pPr>
            <w:r>
              <w:rPr>
                <w:rFonts w:ascii="Times New Roman" w:cs="Times New Roman" w:eastAsia="Times New Roman" w:hAnsi="Times New Roman"/>
                <w:sz w:val="18"/>
                <w:szCs w:val="18"/>
                <w:b w:val="1"/>
                <w:bCs w:val="1"/>
                <w:color w:val="auto"/>
              </w:rPr>
              <w:t>Amount</w:t>
            </w:r>
          </w:p>
        </w:tc>
        <w:tc>
          <w:tcPr>
            <w:tcW w:w="900" w:type="dxa"/>
            <w:vAlign w:val="bottom"/>
          </w:tcPr>
          <w:p>
            <w:pPr>
              <w:jc w:val="center"/>
              <w:ind w:left="330"/>
              <w:spacing w:after="0" w:line="202" w:lineRule="exact"/>
              <w:rPr>
                <w:sz w:val="20"/>
                <w:szCs w:val="20"/>
                <w:color w:val="auto"/>
              </w:rPr>
            </w:pPr>
            <w:r>
              <w:rPr>
                <w:rFonts w:ascii="Times New Roman" w:cs="Times New Roman" w:eastAsia="Times New Roman" w:hAnsi="Times New Roman"/>
                <w:sz w:val="18"/>
                <w:szCs w:val="18"/>
                <w:b w:val="1"/>
                <w:bCs w:val="1"/>
                <w:color w:val="auto"/>
                <w:w w:val="97"/>
              </w:rPr>
              <w:t>Value</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tcPr>
          <w:p>
            <w:pPr>
              <w:ind w:left="120"/>
              <w:spacing w:after="0" w:line="202" w:lineRule="exact"/>
              <w:rPr>
                <w:sz w:val="20"/>
                <w:szCs w:val="20"/>
                <w:color w:val="auto"/>
              </w:rPr>
            </w:pPr>
            <w:r>
              <w:rPr>
                <w:rFonts w:ascii="Times New Roman" w:cs="Times New Roman" w:eastAsia="Times New Roman" w:hAnsi="Times New Roman"/>
                <w:sz w:val="18"/>
                <w:szCs w:val="18"/>
                <w:b w:val="1"/>
                <w:bCs w:val="1"/>
                <w:color w:val="auto"/>
              </w:rPr>
              <w:t>Amount</w:t>
            </w:r>
          </w:p>
        </w:tc>
        <w:tc>
          <w:tcPr>
            <w:tcW w:w="1360" w:type="dxa"/>
            <w:vAlign w:val="bottom"/>
            <w:gridSpan w:val="2"/>
          </w:tcPr>
          <w:p>
            <w:pPr>
              <w:jc w:val="center"/>
              <w:ind w:right="60"/>
              <w:spacing w:after="0" w:line="202" w:lineRule="exact"/>
              <w:rPr>
                <w:sz w:val="20"/>
                <w:szCs w:val="20"/>
                <w:color w:val="auto"/>
              </w:rPr>
            </w:pPr>
            <w:r>
              <w:rPr>
                <w:rFonts w:ascii="Times New Roman" w:cs="Times New Roman" w:eastAsia="Times New Roman" w:hAnsi="Times New Roman"/>
                <w:sz w:val="18"/>
                <w:szCs w:val="18"/>
                <w:b w:val="1"/>
                <w:bCs w:val="1"/>
                <w:color w:val="auto"/>
                <w:w w:val="93"/>
              </w:rPr>
              <w:t>Value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20" w:type="dxa"/>
            <w:vAlign w:val="bottom"/>
            <w:tcBorders>
              <w:top w:val="single" w:sz="8" w:color="auto"/>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 purchases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261.8</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Production financing and other</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261.4</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w:t>
            </w: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353.3</w:t>
            </w:r>
          </w:p>
        </w:tc>
        <w:tc>
          <w:tcPr>
            <w:tcW w:w="10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687.7</w:t>
            </w:r>
          </w:p>
        </w:tc>
        <w:tc>
          <w:tcPr>
            <w:tcW w:w="10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5.8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520.6</w:t>
            </w:r>
          </w:p>
        </w:tc>
        <w:tc>
          <w:tcPr>
            <w:tcW w:w="12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15"/>
        </w:trPr>
        <w:tc>
          <w:tcPr>
            <w:tcW w:w="2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23" w:name="page24"/>
    <w:bookmarkEnd w:id="23"/>
    <w:p>
      <w:pPr>
        <w:ind w:left="350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(Millions of Dollars and Shares Except Per Share Data)</w:t>
      </w:r>
    </w:p>
    <w:p>
      <w:pPr>
        <w:spacing w:after="0" w:line="367"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Company has a master agreement with each of its counterparties that allows for the netting of outstanding forward contracts. The fair values of the Company's foreign currency forward contracts designated as cash flow hedges are recorded in the consolidated balance sheets at September 25, 2022, September 26, 2021 and December 26, 2021 as follows: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25,</w:t>
            </w:r>
          </w:p>
        </w:tc>
        <w:tc>
          <w:tcPr>
            <w:tcW w:w="16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September 26,</w:t>
            </w:r>
          </w:p>
        </w:tc>
        <w:tc>
          <w:tcPr>
            <w:tcW w:w="180" w:type="dxa"/>
            <w:vAlign w:val="bottom"/>
          </w:tcPr>
          <w:p>
            <w:pPr>
              <w:spacing w:after="0"/>
              <w:rPr>
                <w:sz w:val="17"/>
                <w:szCs w:val="17"/>
                <w:color w:val="auto"/>
              </w:rPr>
            </w:pP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26,</w:t>
            </w:r>
          </w:p>
        </w:tc>
      </w:tr>
      <w:tr>
        <w:trPr>
          <w:trHeight w:val="241"/>
        </w:trPr>
        <w:tc>
          <w:tcPr>
            <w:tcW w:w="2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1820" w:type="dxa"/>
            <w:vAlign w:val="bottom"/>
            <w:tcBorders>
              <w:bottom w:val="single" w:sz="8" w:color="CCEEFF"/>
            </w:tcBorders>
          </w:tcPr>
          <w:p>
            <w:pPr>
              <w:spacing w:after="0"/>
              <w:rPr>
                <w:sz w:val="20"/>
                <w:szCs w:val="20"/>
                <w:color w:val="auto"/>
              </w:rPr>
            </w:pPr>
          </w:p>
        </w:tc>
        <w:tc>
          <w:tcPr>
            <w:tcW w:w="31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192"/>
        </w:trPr>
        <w:tc>
          <w:tcPr>
            <w:tcW w:w="20" w:type="dxa"/>
            <w:vAlign w:val="bottom"/>
            <w:shd w:val="clear" w:color="auto" w:fill="CCEEFF"/>
          </w:tcPr>
          <w:p>
            <w:pPr>
              <w:spacing w:after="0"/>
              <w:rPr>
                <w:sz w:val="16"/>
                <w:szCs w:val="16"/>
                <w:color w:val="auto"/>
              </w:rPr>
            </w:pPr>
          </w:p>
        </w:tc>
        <w:tc>
          <w:tcPr>
            <w:tcW w:w="6380" w:type="dxa"/>
            <w:vAlign w:val="bottom"/>
            <w:gridSpan w:val="4"/>
            <w:shd w:val="clear" w:color="auto" w:fill="CCEEFF"/>
          </w:tcPr>
          <w:p>
            <w:pPr>
              <w:spacing w:after="0" w:line="171" w:lineRule="exact"/>
              <w:rPr>
                <w:sz w:val="20"/>
                <w:szCs w:val="20"/>
                <w:color w:val="auto"/>
              </w:rPr>
            </w:pPr>
            <w:r>
              <w:rPr>
                <w:rFonts w:ascii="Times New Roman" w:cs="Times New Roman" w:eastAsia="Times New Roman" w:hAnsi="Times New Roman"/>
                <w:sz w:val="18"/>
                <w:szCs w:val="18"/>
                <w:b w:val="1"/>
                <w:bCs w:val="1"/>
                <w:color w:val="auto"/>
              </w:rPr>
              <w:t>Prepaid expenses and other current assets</w:t>
            </w: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32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Unrealized gains</w:t>
            </w:r>
          </w:p>
        </w:tc>
        <w:tc>
          <w:tcPr>
            <w:tcW w:w="316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CCEEFF"/>
            </w:tcBorders>
          </w:tcPr>
          <w:p>
            <w:pPr>
              <w:jc w:val="center"/>
              <w:ind w:left="910"/>
              <w:spacing w:after="0"/>
              <w:rPr>
                <w:sz w:val="20"/>
                <w:szCs w:val="20"/>
                <w:color w:val="auto"/>
              </w:rPr>
            </w:pPr>
            <w:r>
              <w:rPr>
                <w:rFonts w:ascii="Times New Roman" w:cs="Times New Roman" w:eastAsia="Times New Roman" w:hAnsi="Times New Roman"/>
                <w:sz w:val="18"/>
                <w:szCs w:val="18"/>
                <w:color w:val="auto"/>
                <w:w w:val="97"/>
              </w:rPr>
              <w:t>8.6</w:t>
            </w: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30"/>
        </w:trPr>
        <w:tc>
          <w:tcPr>
            <w:tcW w:w="20" w:type="dxa"/>
            <w:vAlign w:val="bottom"/>
            <w:shd w:val="clear" w:color="auto" w:fill="CCEEFF"/>
          </w:tcPr>
          <w:p>
            <w:pPr>
              <w:spacing w:after="0"/>
              <w:rPr>
                <w:sz w:val="19"/>
                <w:szCs w:val="19"/>
                <w:color w:val="auto"/>
              </w:rPr>
            </w:pPr>
          </w:p>
        </w:tc>
        <w:tc>
          <w:tcPr>
            <w:tcW w:w="63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losses</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center"/>
              <w:ind w:left="870"/>
              <w:spacing w:after="0"/>
              <w:rPr>
                <w:sz w:val="20"/>
                <w:szCs w:val="20"/>
                <w:color w:val="auto"/>
              </w:rPr>
            </w:pPr>
            <w:r>
              <w:rPr>
                <w:rFonts w:ascii="Times New Roman" w:cs="Times New Roman" w:eastAsia="Times New Roman" w:hAnsi="Times New Roman"/>
                <w:sz w:val="18"/>
                <w:szCs w:val="18"/>
                <w:color w:val="auto"/>
                <w:w w:val="98"/>
              </w:rPr>
              <w:t>(3.7)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3"/>
        </w:trPr>
        <w:tc>
          <w:tcPr>
            <w:tcW w:w="20" w:type="dxa"/>
            <w:vAlign w:val="bottom"/>
          </w:tcPr>
          <w:p>
            <w:pPr>
              <w:spacing w:after="0"/>
              <w:rPr>
                <w:sz w:val="19"/>
                <w:szCs w:val="19"/>
                <w:color w:val="auto"/>
              </w:rPr>
            </w:pPr>
          </w:p>
        </w:tc>
        <w:tc>
          <w:tcPr>
            <w:tcW w:w="63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Net unrealized gains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center"/>
              <w:ind w:left="910"/>
              <w:spacing w:after="0"/>
              <w:rPr>
                <w:sz w:val="20"/>
                <w:szCs w:val="20"/>
                <w:color w:val="auto"/>
              </w:rPr>
            </w:pPr>
            <w:r>
              <w:rPr>
                <w:rFonts w:ascii="Times New Roman" w:cs="Times New Roman" w:eastAsia="Times New Roman" w:hAnsi="Times New Roman"/>
                <w:sz w:val="18"/>
                <w:szCs w:val="18"/>
                <w:color w:val="auto"/>
                <w:w w:val="97"/>
              </w:rPr>
              <w:t>4.9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3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r>
      <w:tr>
        <w:trPr>
          <w:trHeight w:val="189"/>
        </w:trPr>
        <w:tc>
          <w:tcPr>
            <w:tcW w:w="20" w:type="dxa"/>
            <w:vAlign w:val="bottom"/>
          </w:tcPr>
          <w:p>
            <w:pPr>
              <w:spacing w:after="0"/>
              <w:rPr>
                <w:sz w:val="16"/>
                <w:szCs w:val="16"/>
                <w:color w:val="auto"/>
              </w:rPr>
            </w:pPr>
          </w:p>
        </w:tc>
        <w:tc>
          <w:tcPr>
            <w:tcW w:w="638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Other assets</w:t>
            </w: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3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gains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center"/>
              <w:ind w:left="910"/>
              <w:spacing w:after="0"/>
              <w:rPr>
                <w:sz w:val="20"/>
                <w:szCs w:val="20"/>
                <w:color w:val="auto"/>
              </w:rPr>
            </w:pPr>
            <w:r>
              <w:rPr>
                <w:rFonts w:ascii="Times New Roman" w:cs="Times New Roman" w:eastAsia="Times New Roman" w:hAnsi="Times New Roman"/>
                <w:sz w:val="18"/>
                <w:szCs w:val="18"/>
                <w:color w:val="auto"/>
                <w:w w:val="97"/>
              </w:rPr>
              <w:t>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9"/>
        </w:trPr>
        <w:tc>
          <w:tcPr>
            <w:tcW w:w="20" w:type="dxa"/>
            <w:vAlign w:val="bottom"/>
            <w:tcBorders>
              <w:bottom w:val="single" w:sz="8" w:color="CCEEFF"/>
            </w:tcBorders>
          </w:tcPr>
          <w:p>
            <w:pPr>
              <w:spacing w:after="0"/>
              <w:rPr>
                <w:sz w:val="19"/>
                <w:szCs w:val="19"/>
                <w:color w:val="auto"/>
              </w:rPr>
            </w:pPr>
          </w:p>
        </w:tc>
        <w:tc>
          <w:tcPr>
            <w:tcW w:w="638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Unrealized losses</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left="870"/>
              <w:spacing w:after="0"/>
              <w:rPr>
                <w:sz w:val="20"/>
                <w:szCs w:val="20"/>
                <w:color w:val="auto"/>
              </w:rPr>
            </w:pPr>
            <w:r>
              <w:rPr>
                <w:rFonts w:ascii="Times New Roman" w:cs="Times New Roman" w:eastAsia="Times New Roman" w:hAnsi="Times New Roman"/>
                <w:sz w:val="18"/>
                <w:szCs w:val="18"/>
                <w:color w:val="auto"/>
                <w:w w:val="98"/>
              </w:rPr>
              <w:t>(0.1)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38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unrealized gains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center"/>
              <w:ind w:left="910"/>
              <w:spacing w:after="0"/>
              <w:rPr>
                <w:sz w:val="20"/>
                <w:szCs w:val="20"/>
                <w:color w:val="auto"/>
              </w:rPr>
            </w:pPr>
            <w:r>
              <w:rPr>
                <w:rFonts w:ascii="Times New Roman" w:cs="Times New Roman" w:eastAsia="Times New Roman" w:hAnsi="Times New Roman"/>
                <w:sz w:val="18"/>
                <w:szCs w:val="18"/>
                <w:color w:val="auto"/>
                <w:w w:val="97"/>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9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20" w:type="dxa"/>
            <w:vAlign w:val="bottom"/>
          </w:tcPr>
          <w:p>
            <w:pPr>
              <w:spacing w:after="0"/>
              <w:rPr>
                <w:sz w:val="9"/>
                <w:szCs w:val="9"/>
                <w:color w:val="auto"/>
              </w:rPr>
            </w:pPr>
          </w:p>
        </w:tc>
        <w:tc>
          <w:tcPr>
            <w:tcW w:w="3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40" w:type="dxa"/>
            <w:vAlign w:val="bottom"/>
          </w:tcPr>
          <w:p>
            <w:pPr>
              <w:spacing w:after="0"/>
              <w:rPr>
                <w:sz w:val="9"/>
                <w:szCs w:val="9"/>
                <w:color w:val="auto"/>
              </w:rPr>
            </w:pPr>
          </w:p>
        </w:tc>
      </w:tr>
      <w:tr>
        <w:trPr>
          <w:trHeight w:val="209"/>
        </w:trPr>
        <w:tc>
          <w:tcPr>
            <w:tcW w:w="20" w:type="dxa"/>
            <w:vAlign w:val="bottom"/>
            <w:shd w:val="clear" w:color="auto" w:fill="CCEEFF"/>
          </w:tcPr>
          <w:p>
            <w:pPr>
              <w:spacing w:after="0"/>
              <w:rPr>
                <w:sz w:val="18"/>
                <w:szCs w:val="18"/>
                <w:color w:val="auto"/>
              </w:rPr>
            </w:pPr>
          </w:p>
        </w:tc>
        <w:tc>
          <w:tcPr>
            <w:tcW w:w="638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Accrued liabilities</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14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Unrealized gains</w:t>
            </w:r>
          </w:p>
        </w:tc>
        <w:tc>
          <w:tcPr>
            <w:tcW w:w="4980" w:type="dxa"/>
            <w:vAlign w:val="bottom"/>
            <w:tcBorders>
              <w:top w:val="single" w:sz="8" w:color="CCEEFF"/>
            </w:tcBorders>
            <w:gridSpan w:val="2"/>
          </w:tcPr>
          <w:p>
            <w:pPr>
              <w:spacing w:after="0"/>
              <w:rPr>
                <w:sz w:val="19"/>
                <w:szCs w:val="19"/>
                <w:color w:val="auto"/>
              </w:rPr>
            </w:pPr>
          </w:p>
        </w:tc>
        <w:tc>
          <w:tcPr>
            <w:tcW w:w="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CCEEFF"/>
            </w:tcBorders>
          </w:tcPr>
          <w:p>
            <w:pPr>
              <w:jc w:val="center"/>
              <w:ind w:left="910"/>
              <w:spacing w:after="0"/>
              <w:rPr>
                <w:sz w:val="20"/>
                <w:szCs w:val="20"/>
                <w:color w:val="auto"/>
              </w:rPr>
            </w:pPr>
            <w:r>
              <w:rPr>
                <w:rFonts w:ascii="Times New Roman" w:cs="Times New Roman" w:eastAsia="Times New Roman" w:hAnsi="Times New Roman"/>
                <w:sz w:val="18"/>
                <w:szCs w:val="18"/>
                <w:color w:val="auto"/>
                <w:w w:val="97"/>
              </w:rPr>
              <w:t>0.3</w:t>
            </w: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63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losses</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center"/>
              <w:ind w:left="870"/>
              <w:spacing w:after="0"/>
              <w:rPr>
                <w:sz w:val="20"/>
                <w:szCs w:val="20"/>
                <w:color w:val="auto"/>
              </w:rPr>
            </w:pPr>
            <w:r>
              <w:rPr>
                <w:rFonts w:ascii="Times New Roman" w:cs="Times New Roman" w:eastAsia="Times New Roman" w:hAnsi="Times New Roman"/>
                <w:sz w:val="18"/>
                <w:szCs w:val="18"/>
                <w:color w:val="auto"/>
                <w:w w:val="98"/>
              </w:rPr>
              <w:t>(1.3)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20" w:type="dxa"/>
            <w:vAlign w:val="bottom"/>
          </w:tcPr>
          <w:p>
            <w:pPr>
              <w:spacing w:after="0"/>
              <w:rPr>
                <w:sz w:val="19"/>
                <w:szCs w:val="19"/>
                <w:color w:val="auto"/>
              </w:rPr>
            </w:pPr>
          </w:p>
        </w:tc>
        <w:tc>
          <w:tcPr>
            <w:tcW w:w="63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Net unrealized losses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center"/>
              <w:ind w:left="870"/>
              <w:spacing w:after="0"/>
              <w:rPr>
                <w:sz w:val="20"/>
                <w:szCs w:val="20"/>
                <w:color w:val="auto"/>
              </w:rPr>
            </w:pPr>
            <w:r>
              <w:rPr>
                <w:rFonts w:ascii="Times New Roman" w:cs="Times New Roman" w:eastAsia="Times New Roman" w:hAnsi="Times New Roman"/>
                <w:sz w:val="18"/>
                <w:szCs w:val="18"/>
                <w:color w:val="auto"/>
                <w:w w:val="98"/>
              </w:rPr>
              <w:t>(1.0)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1"/>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Net gains (losses) on cash flow hedging activities have been reclassified from other comprehensive earnings (loss) to net earnings for the quarters and nine months ended September 25, 2022 and September 26, 2021 as follows: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40" w:type="dxa"/>
            <w:vAlign w:val="bottom"/>
            <w:gridSpan w:val="5"/>
          </w:tcPr>
          <w:p>
            <w:pPr>
              <w:ind w:left="84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160" w:type="dxa"/>
            <w:vAlign w:val="bottom"/>
          </w:tcPr>
          <w:p>
            <w:pPr>
              <w:spacing w:after="0"/>
              <w:rPr>
                <w:sz w:val="20"/>
                <w:szCs w:val="20"/>
                <w:color w:val="auto"/>
              </w:rPr>
            </w:pPr>
          </w:p>
        </w:tc>
        <w:tc>
          <w:tcPr>
            <w:tcW w:w="3020" w:type="dxa"/>
            <w:vAlign w:val="bottom"/>
            <w:gridSpan w:val="3"/>
          </w:tcPr>
          <w:p>
            <w:pPr>
              <w:ind w:left="66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69"/>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gridSpan w:val="2"/>
          </w:tcPr>
          <w:p>
            <w:pPr>
              <w:jc w:val="center"/>
              <w:ind w:right="260"/>
              <w:spacing w:after="0" w:line="169" w:lineRule="exact"/>
              <w:rPr>
                <w:sz w:val="20"/>
                <w:szCs w:val="20"/>
                <w:color w:val="auto"/>
              </w:rPr>
            </w:pPr>
            <w:r>
              <w:rPr>
                <w:rFonts w:ascii="Times New Roman" w:cs="Times New Roman" w:eastAsia="Times New Roman" w:hAnsi="Times New Roman"/>
                <w:sz w:val="18"/>
                <w:szCs w:val="18"/>
                <w:b w:val="1"/>
                <w:bCs w:val="1"/>
                <w:color w:val="auto"/>
                <w:w w:val="99"/>
              </w:rPr>
              <w:t>September 25,</w:t>
            </w:r>
          </w:p>
        </w:tc>
        <w:tc>
          <w:tcPr>
            <w:tcW w:w="16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center"/>
              <w:ind w:right="50"/>
              <w:spacing w:after="0" w:line="169" w:lineRule="exact"/>
              <w:rPr>
                <w:sz w:val="20"/>
                <w:szCs w:val="20"/>
                <w:color w:val="auto"/>
              </w:rPr>
            </w:pPr>
            <w:r>
              <w:rPr>
                <w:rFonts w:ascii="Times New Roman" w:cs="Times New Roman" w:eastAsia="Times New Roman" w:hAnsi="Times New Roman"/>
                <w:sz w:val="18"/>
                <w:szCs w:val="18"/>
                <w:b w:val="1"/>
                <w:bCs w:val="1"/>
                <w:color w:val="auto"/>
                <w:w w:val="99"/>
              </w:rPr>
              <w:t>September 26,</w:t>
            </w:r>
          </w:p>
        </w:tc>
        <w:tc>
          <w:tcPr>
            <w:tcW w:w="2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gridSpan w:val="2"/>
          </w:tcPr>
          <w:p>
            <w:pPr>
              <w:jc w:val="center"/>
              <w:ind w:right="260"/>
              <w:spacing w:after="0" w:line="169" w:lineRule="exact"/>
              <w:rPr>
                <w:sz w:val="20"/>
                <w:szCs w:val="20"/>
                <w:color w:val="auto"/>
              </w:rPr>
            </w:pPr>
            <w:r>
              <w:rPr>
                <w:rFonts w:ascii="Times New Roman" w:cs="Times New Roman" w:eastAsia="Times New Roman" w:hAnsi="Times New Roman"/>
                <w:sz w:val="18"/>
                <w:szCs w:val="18"/>
                <w:b w:val="1"/>
                <w:bCs w:val="1"/>
                <w:color w:val="auto"/>
                <w:w w:val="99"/>
              </w:rPr>
              <w:t>September 25,</w:t>
            </w:r>
          </w:p>
        </w:tc>
        <w:tc>
          <w:tcPr>
            <w:tcW w:w="154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September 26,</w:t>
            </w:r>
          </w:p>
        </w:tc>
      </w:tr>
      <w:tr>
        <w:trPr>
          <w:trHeight w:val="241"/>
        </w:trPr>
        <w:tc>
          <w:tcPr>
            <w:tcW w:w="20" w:type="dxa"/>
            <w:vAlign w:val="bottom"/>
            <w:tcBorders>
              <w:bottom w:val="single" w:sz="8" w:color="CCEEFF"/>
            </w:tcBorders>
          </w:tcPr>
          <w:p>
            <w:pPr>
              <w:spacing w:after="0"/>
              <w:rPr>
                <w:sz w:val="20"/>
                <w:szCs w:val="20"/>
                <w:color w:val="auto"/>
              </w:rPr>
            </w:pPr>
          </w:p>
        </w:tc>
        <w:tc>
          <w:tcPr>
            <w:tcW w:w="3040" w:type="dxa"/>
            <w:vAlign w:val="bottom"/>
            <w:tcBorders>
              <w:bottom w:val="single" w:sz="8" w:color="CCEEFF"/>
            </w:tcBorders>
          </w:tcPr>
          <w:p>
            <w:pPr>
              <w:spacing w:after="0"/>
              <w:rPr>
                <w:sz w:val="20"/>
                <w:szCs w:val="20"/>
                <w:color w:val="auto"/>
              </w:rPr>
            </w:pPr>
          </w:p>
        </w:tc>
        <w:tc>
          <w:tcPr>
            <w:tcW w:w="16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15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3040" w:type="dxa"/>
            <w:vAlign w:val="bottom"/>
            <w:tcBorders>
              <w:bottom w:val="single" w:sz="8" w:color="auto"/>
            </w:tcBorders>
            <w:shd w:val="clear" w:color="auto" w:fill="CCEEFF"/>
          </w:tcPr>
          <w:p>
            <w:pPr>
              <w:spacing w:after="0" w:line="171" w:lineRule="exact"/>
              <w:rPr>
                <w:sz w:val="20"/>
                <w:szCs w:val="20"/>
                <w:color w:val="auto"/>
              </w:rPr>
            </w:pPr>
            <w:r>
              <w:rPr>
                <w:rFonts w:ascii="Times New Roman" w:cs="Times New Roman" w:eastAsia="Times New Roman" w:hAnsi="Times New Roman"/>
                <w:sz w:val="18"/>
                <w:szCs w:val="18"/>
                <w:b w:val="1"/>
                <w:bCs w:val="1"/>
                <w:color w:val="auto"/>
                <w:w w:val="99"/>
              </w:rPr>
              <w:t>Statements of Operations Classification</w:t>
            </w:r>
          </w:p>
        </w:tc>
        <w:tc>
          <w:tcPr>
            <w:tcW w:w="16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spacing w:after="0"/>
              <w:rPr>
                <w:sz w:val="16"/>
                <w:szCs w:val="16"/>
                <w:color w:val="auto"/>
              </w:rPr>
            </w:pPr>
          </w:p>
        </w:tc>
      </w:tr>
      <w:tr>
        <w:trPr>
          <w:trHeight w:val="229"/>
        </w:trPr>
        <w:tc>
          <w:tcPr>
            <w:tcW w:w="20" w:type="dxa"/>
            <w:vAlign w:val="bottom"/>
          </w:tcPr>
          <w:p>
            <w:pPr>
              <w:spacing w:after="0"/>
              <w:rPr>
                <w:sz w:val="19"/>
                <w:szCs w:val="19"/>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auto"/>
                <w:w w:val="97"/>
              </w:rPr>
              <w:t>5.9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w w:val="98"/>
              </w:rPr>
              <w:t>(2.0)</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auto"/>
                <w:w w:val="97"/>
              </w:rPr>
              <w:t>8.5</w:t>
            </w:r>
          </w:p>
        </w:tc>
        <w:tc>
          <w:tcPr>
            <w:tcW w:w="100" w:type="dxa"/>
            <w:vAlign w:val="bottom"/>
          </w:tcPr>
          <w:p>
            <w:pPr>
              <w:spacing w:after="0"/>
              <w:rPr>
                <w:sz w:val="19"/>
                <w:szCs w:val="19"/>
                <w:color w:val="auto"/>
              </w:rPr>
            </w:pPr>
          </w:p>
        </w:tc>
        <w:tc>
          <w:tcPr>
            <w:tcW w:w="154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rPr>
              <w:t>(4.4)</w:t>
            </w:r>
          </w:p>
        </w:tc>
      </w:tr>
      <w:tr>
        <w:trPr>
          <w:trHeight w:val="230"/>
        </w:trPr>
        <w:tc>
          <w:tcPr>
            <w:tcW w:w="20" w:type="dxa"/>
            <w:vAlign w:val="bottom"/>
            <w:shd w:val="clear" w:color="auto" w:fill="CCEEFF"/>
          </w:tcPr>
          <w:p>
            <w:pPr>
              <w:spacing w:after="0"/>
              <w:rPr>
                <w:sz w:val="19"/>
                <w:szCs w:val="19"/>
                <w:color w:val="auto"/>
              </w:rPr>
            </w:pPr>
          </w:p>
        </w:tc>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center"/>
              <w:ind w:left="910"/>
              <w:spacing w:after="0"/>
              <w:rPr>
                <w:sz w:val="20"/>
                <w:szCs w:val="20"/>
                <w:color w:val="auto"/>
              </w:rPr>
            </w:pPr>
            <w:r>
              <w:rPr>
                <w:rFonts w:ascii="Times New Roman" w:cs="Times New Roman" w:eastAsia="Times New Roman" w:hAnsi="Times New Roman"/>
                <w:sz w:val="18"/>
                <w:szCs w:val="18"/>
                <w:color w:val="auto"/>
                <w:w w:val="97"/>
              </w:rPr>
              <w:t>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center"/>
              <w:ind w:left="910"/>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center"/>
              <w:ind w:left="910"/>
              <w:spacing w:after="0"/>
              <w:rPr>
                <w:sz w:val="20"/>
                <w:szCs w:val="20"/>
                <w:color w:val="auto"/>
              </w:rPr>
            </w:pPr>
            <w:r>
              <w:rPr>
                <w:rFonts w:ascii="Times New Roman" w:cs="Times New Roman" w:eastAsia="Times New Roman" w:hAnsi="Times New Roman"/>
                <w:sz w:val="18"/>
                <w:szCs w:val="18"/>
                <w:color w:val="auto"/>
                <w:w w:val="97"/>
              </w:rPr>
              <w:t>0.8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center"/>
              <w:ind w:left="1070"/>
              <w:spacing w:after="0"/>
              <w:rPr>
                <w:sz w:val="20"/>
                <w:szCs w:val="20"/>
                <w:color w:val="auto"/>
              </w:rPr>
            </w:pPr>
            <w:r>
              <w:rPr>
                <w:rFonts w:ascii="Times New Roman" w:cs="Times New Roman" w:eastAsia="Times New Roman" w:hAnsi="Times New Roman"/>
                <w:sz w:val="18"/>
                <w:szCs w:val="18"/>
                <w:color w:val="auto"/>
                <w:w w:val="97"/>
              </w:rPr>
              <w:t>1.4</w:t>
            </w:r>
          </w:p>
        </w:tc>
      </w:tr>
      <w:tr>
        <w:trPr>
          <w:trHeight w:val="230"/>
        </w:trPr>
        <w:tc>
          <w:tcPr>
            <w:tcW w:w="20" w:type="dxa"/>
            <w:vAlign w:val="bottom"/>
            <w:tcBorders>
              <w:bottom w:val="single" w:sz="8" w:color="CCEEFF"/>
            </w:tcBorders>
          </w:tcPr>
          <w:p>
            <w:pPr>
              <w:spacing w:after="0"/>
              <w:rPr>
                <w:sz w:val="19"/>
                <w:szCs w:val="19"/>
                <w:color w:val="auto"/>
              </w:rPr>
            </w:pPr>
          </w:p>
        </w:tc>
        <w:tc>
          <w:tcPr>
            <w:tcW w:w="46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left="870"/>
              <w:spacing w:after="0"/>
              <w:rPr>
                <w:sz w:val="20"/>
                <w:szCs w:val="20"/>
                <w:color w:val="auto"/>
              </w:rPr>
            </w:pPr>
            <w:r>
              <w:rPr>
                <w:rFonts w:ascii="Times New Roman" w:cs="Times New Roman" w:eastAsia="Times New Roman" w:hAnsi="Times New Roman"/>
                <w:sz w:val="18"/>
                <w:szCs w:val="18"/>
                <w:color w:val="auto"/>
                <w:w w:val="98"/>
              </w:rPr>
              <w:t>(0.2)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left="910"/>
              <w:spacing w:after="0"/>
              <w:rPr>
                <w:sz w:val="20"/>
                <w:szCs w:val="20"/>
                <w:color w:val="auto"/>
              </w:rPr>
            </w:pPr>
            <w:r>
              <w:rPr>
                <w:rFonts w:ascii="Times New Roman" w:cs="Times New Roman" w:eastAsia="Times New Roman" w:hAnsi="Times New Roman"/>
                <w:sz w:val="18"/>
                <w:szCs w:val="18"/>
                <w:color w:val="auto"/>
              </w:rPr>
              <w:t>0.8</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left="870"/>
              <w:spacing w:after="0"/>
              <w:rPr>
                <w:sz w:val="20"/>
                <w:szCs w:val="20"/>
                <w:color w:val="auto"/>
              </w:rPr>
            </w:pPr>
            <w:r>
              <w:rPr>
                <w:rFonts w:ascii="Times New Roman" w:cs="Times New Roman" w:eastAsia="Times New Roman" w:hAnsi="Times New Roman"/>
                <w:sz w:val="18"/>
                <w:szCs w:val="18"/>
                <w:color w:val="auto"/>
                <w:w w:val="98"/>
              </w:rPr>
              <w:t>(0.9)</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center"/>
              <w:ind w:left="1070"/>
              <w:spacing w:after="0"/>
              <w:rPr>
                <w:sz w:val="20"/>
                <w:szCs w:val="20"/>
                <w:color w:val="auto"/>
              </w:rPr>
            </w:pPr>
            <w:r>
              <w:rPr>
                <w:rFonts w:ascii="Times New Roman" w:cs="Times New Roman" w:eastAsia="Times New Roman" w:hAnsi="Times New Roman"/>
                <w:sz w:val="18"/>
                <w:szCs w:val="18"/>
                <w:color w:val="auto"/>
                <w:w w:val="97"/>
              </w:rPr>
              <w:t>2.0</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6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realized (losses) gains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center"/>
              <w:ind w:left="910"/>
              <w:spacing w:after="0"/>
              <w:rPr>
                <w:sz w:val="20"/>
                <w:szCs w:val="20"/>
                <w:color w:val="auto"/>
              </w:rPr>
            </w:pPr>
            <w:r>
              <w:rPr>
                <w:rFonts w:ascii="Times New Roman" w:cs="Times New Roman" w:eastAsia="Times New Roman" w:hAnsi="Times New Roman"/>
                <w:sz w:val="18"/>
                <w:szCs w:val="18"/>
                <w:color w:val="auto"/>
                <w:w w:val="97"/>
              </w:rPr>
              <w:t>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center"/>
              <w:ind w:left="890"/>
              <w:spacing w:after="0"/>
              <w:rPr>
                <w:sz w:val="20"/>
                <w:szCs w:val="20"/>
                <w:color w:val="auto"/>
              </w:rPr>
            </w:pPr>
            <w:r>
              <w:rPr>
                <w:rFonts w:ascii="Times New Roman" w:cs="Times New Roman" w:eastAsia="Times New Roman" w:hAnsi="Times New Roman"/>
                <w:sz w:val="18"/>
                <w:szCs w:val="18"/>
                <w:color w:val="auto"/>
                <w:w w:val="98"/>
              </w:rPr>
              <w:t>(1.1)</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center"/>
              <w:ind w:left="910"/>
              <w:spacing w:after="0"/>
              <w:rPr>
                <w:sz w:val="20"/>
                <w:szCs w:val="20"/>
                <w:color w:val="auto"/>
              </w:rPr>
            </w:pPr>
            <w:r>
              <w:rPr>
                <w:rFonts w:ascii="Times New Roman" w:cs="Times New Roman" w:eastAsia="Times New Roman" w:hAnsi="Times New Roman"/>
                <w:sz w:val="18"/>
                <w:szCs w:val="18"/>
                <w:color w:val="auto"/>
                <w:w w:val="97"/>
              </w:rPr>
              <w:t>8.4</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center"/>
              <w:ind w:left="1050"/>
              <w:spacing w:after="0"/>
              <w:rPr>
                <w:sz w:val="20"/>
                <w:szCs w:val="20"/>
                <w:color w:val="auto"/>
              </w:rPr>
            </w:pPr>
            <w:r>
              <w:rPr>
                <w:rFonts w:ascii="Times New Roman" w:cs="Times New Roman" w:eastAsia="Times New Roman" w:hAnsi="Times New Roman"/>
                <w:sz w:val="18"/>
                <w:szCs w:val="18"/>
                <w:color w:val="auto"/>
              </w:rPr>
              <w:t>(1.0)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04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Undesignated Hedges</w:t>
      </w:r>
    </w:p>
    <w:p>
      <w:pPr>
        <w:spacing w:after="0" w:line="20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Company also enters into foreign currency forward contracts to minimize the impact of changes in the fair value of intercompany loans due to foreign currency changes. The Company does not use hedge accounting for these contracts as changes in the fair values of these contracts are substantially offset by changes in the fair value of the intercompany loans. Additionally, to manage transactional exposure to fair value movements on certain monetary assets and liabilities denominated in foreign currencies, the Company has implemented a balance sheet hedging program. The Company does not use hedge accounting for these contracts as changes in the fair values of these contracts are offset by changes in the fair value of the balance sheet items. As of September 25, 2022, September 26, 2021 and December 26, 2021 the total notional amounts of the Company's undesignated derivative instruments were $601.3 million, $663.2 million and $632.0 million,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650240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24" w:name="page25"/>
    <w:bookmarkEnd w:id="24"/>
    <w:p>
      <w:pPr>
        <w:ind w:left="350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(Millions of Dollars and Shares Except Per Share Data)</w:t>
      </w:r>
    </w:p>
    <w:p>
      <w:pPr>
        <w:spacing w:after="0" w:line="36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At September 25, 2022, September 26, 2021 and December 26, 2021, the fair values of the Company's undesignated derivative financial instruments were recorded in the consolidated balance sheets as follows: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25,</w:t>
            </w:r>
          </w:p>
        </w:tc>
        <w:tc>
          <w:tcPr>
            <w:tcW w:w="160" w:type="dxa"/>
            <w:vAlign w:val="bottom"/>
          </w:tcPr>
          <w:p>
            <w:pPr>
              <w:spacing w:after="0"/>
              <w:rPr>
                <w:sz w:val="17"/>
                <w:szCs w:val="17"/>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26,</w:t>
            </w:r>
          </w:p>
        </w:tc>
        <w:tc>
          <w:tcPr>
            <w:tcW w:w="180" w:type="dxa"/>
            <w:vAlign w:val="bottom"/>
          </w:tcPr>
          <w:p>
            <w:pPr>
              <w:spacing w:after="0"/>
              <w:rPr>
                <w:sz w:val="17"/>
                <w:szCs w:val="17"/>
                <w:color w:val="auto"/>
              </w:rPr>
            </w:pP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26,</w:t>
            </w:r>
          </w:p>
        </w:tc>
      </w:tr>
      <w:tr>
        <w:trPr>
          <w:trHeight w:val="241"/>
        </w:trPr>
        <w:tc>
          <w:tcPr>
            <w:tcW w:w="20" w:type="dxa"/>
            <w:vAlign w:val="bottom"/>
            <w:tcBorders>
              <w:bottom w:val="single" w:sz="8" w:color="CCEEFF"/>
            </w:tcBorders>
          </w:tcPr>
          <w:p>
            <w:pPr>
              <w:spacing w:after="0"/>
              <w:rPr>
                <w:sz w:val="20"/>
                <w:szCs w:val="20"/>
                <w:color w:val="auto"/>
              </w:rPr>
            </w:pPr>
          </w:p>
        </w:tc>
        <w:tc>
          <w:tcPr>
            <w:tcW w:w="1400" w:type="dxa"/>
            <w:vAlign w:val="bottom"/>
            <w:tcBorders>
              <w:bottom w:val="single" w:sz="8" w:color="CCEEFF"/>
            </w:tcBorders>
          </w:tcPr>
          <w:p>
            <w:pPr>
              <w:spacing w:after="0"/>
              <w:rPr>
                <w:sz w:val="20"/>
                <w:szCs w:val="20"/>
                <w:color w:val="auto"/>
              </w:rPr>
            </w:pPr>
          </w:p>
        </w:tc>
        <w:tc>
          <w:tcPr>
            <w:tcW w:w="1220" w:type="dxa"/>
            <w:vAlign w:val="bottom"/>
            <w:tcBorders>
              <w:bottom w:val="single" w:sz="8" w:color="CCEEFF"/>
            </w:tcBorders>
          </w:tcPr>
          <w:p>
            <w:pPr>
              <w:spacing w:after="0"/>
              <w:rPr>
                <w:sz w:val="20"/>
                <w:szCs w:val="20"/>
                <w:color w:val="auto"/>
              </w:rPr>
            </w:pPr>
          </w:p>
        </w:tc>
        <w:tc>
          <w:tcPr>
            <w:tcW w:w="600" w:type="dxa"/>
            <w:vAlign w:val="bottom"/>
            <w:tcBorders>
              <w:bottom w:val="single" w:sz="8" w:color="CCEEFF"/>
            </w:tcBorders>
          </w:tcPr>
          <w:p>
            <w:pPr>
              <w:spacing w:after="0"/>
              <w:rPr>
                <w:sz w:val="20"/>
                <w:szCs w:val="20"/>
                <w:color w:val="auto"/>
              </w:rPr>
            </w:pPr>
          </w:p>
        </w:tc>
        <w:tc>
          <w:tcPr>
            <w:tcW w:w="31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192"/>
        </w:trPr>
        <w:tc>
          <w:tcPr>
            <w:tcW w:w="20" w:type="dxa"/>
            <w:vAlign w:val="bottom"/>
            <w:shd w:val="clear" w:color="auto" w:fill="CCEEFF"/>
          </w:tcPr>
          <w:p>
            <w:pPr>
              <w:spacing w:after="0"/>
              <w:rPr>
                <w:sz w:val="16"/>
                <w:szCs w:val="16"/>
                <w:color w:val="auto"/>
              </w:rPr>
            </w:pPr>
          </w:p>
        </w:tc>
        <w:tc>
          <w:tcPr>
            <w:tcW w:w="6380" w:type="dxa"/>
            <w:vAlign w:val="bottom"/>
            <w:gridSpan w:val="4"/>
            <w:shd w:val="clear" w:color="auto" w:fill="CCEEFF"/>
          </w:tcPr>
          <w:p>
            <w:pPr>
              <w:spacing w:after="0" w:line="171" w:lineRule="exact"/>
              <w:rPr>
                <w:sz w:val="20"/>
                <w:szCs w:val="20"/>
                <w:color w:val="auto"/>
              </w:rPr>
            </w:pPr>
            <w:r>
              <w:rPr>
                <w:rFonts w:ascii="Times New Roman" w:cs="Times New Roman" w:eastAsia="Times New Roman" w:hAnsi="Times New Roman"/>
                <w:sz w:val="18"/>
                <w:szCs w:val="18"/>
                <w:b w:val="1"/>
                <w:bCs w:val="1"/>
                <w:color w:val="auto"/>
              </w:rPr>
              <w:t>Prepaid expenses and other current assets</w:t>
            </w: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32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Unrealized gains</w:t>
            </w:r>
          </w:p>
        </w:tc>
        <w:tc>
          <w:tcPr>
            <w:tcW w:w="316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63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losses</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Borders>
              <w:bottom w:val="single" w:sz="8" w:color="CCEEFF"/>
            </w:tcBorders>
          </w:tcPr>
          <w:p>
            <w:pPr>
              <w:spacing w:after="0"/>
              <w:rPr>
                <w:sz w:val="19"/>
                <w:szCs w:val="19"/>
                <w:color w:val="auto"/>
              </w:rPr>
            </w:pPr>
          </w:p>
        </w:tc>
        <w:tc>
          <w:tcPr>
            <w:tcW w:w="638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Net unrealized gains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189"/>
        </w:trPr>
        <w:tc>
          <w:tcPr>
            <w:tcW w:w="20" w:type="dxa"/>
            <w:vAlign w:val="bottom"/>
          </w:tcPr>
          <w:p>
            <w:pPr>
              <w:spacing w:after="0"/>
              <w:rPr>
                <w:sz w:val="16"/>
                <w:szCs w:val="16"/>
                <w:color w:val="auto"/>
              </w:rPr>
            </w:pPr>
          </w:p>
        </w:tc>
        <w:tc>
          <w:tcPr>
            <w:tcW w:w="638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Accrued liabilities</w:t>
            </w: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3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gains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9"/>
        </w:trPr>
        <w:tc>
          <w:tcPr>
            <w:tcW w:w="20" w:type="dxa"/>
            <w:vAlign w:val="bottom"/>
            <w:tcBorders>
              <w:bottom w:val="single" w:sz="8" w:color="CCEEFF"/>
            </w:tcBorders>
          </w:tcPr>
          <w:p>
            <w:pPr>
              <w:spacing w:after="0"/>
              <w:rPr>
                <w:sz w:val="19"/>
                <w:szCs w:val="19"/>
                <w:color w:val="auto"/>
              </w:rPr>
            </w:pPr>
          </w:p>
        </w:tc>
        <w:tc>
          <w:tcPr>
            <w:tcW w:w="638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Unrealized losses</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3"/>
        </w:trPr>
        <w:tc>
          <w:tcPr>
            <w:tcW w:w="20" w:type="dxa"/>
            <w:vAlign w:val="bottom"/>
            <w:shd w:val="clear" w:color="auto" w:fill="CCEEFF"/>
          </w:tcPr>
          <w:p>
            <w:pPr>
              <w:spacing w:after="0"/>
              <w:rPr>
                <w:sz w:val="19"/>
                <w:szCs w:val="19"/>
                <w:color w:val="auto"/>
              </w:rPr>
            </w:pPr>
          </w:p>
        </w:tc>
        <w:tc>
          <w:tcPr>
            <w:tcW w:w="63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unrealized losses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6"/>
        </w:trPr>
        <w:tc>
          <w:tcPr>
            <w:tcW w:w="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6"/>
        </w:trPr>
        <w:tc>
          <w:tcPr>
            <w:tcW w:w="20" w:type="dxa"/>
            <w:vAlign w:val="bottom"/>
            <w:shd w:val="clear" w:color="auto" w:fill="CCEEFF"/>
          </w:tcPr>
          <w:p>
            <w:pPr>
              <w:spacing w:after="0"/>
              <w:rPr>
                <w:sz w:val="22"/>
                <w:szCs w:val="22"/>
                <w:color w:val="auto"/>
              </w:rPr>
            </w:pPr>
          </w:p>
        </w:tc>
        <w:tc>
          <w:tcPr>
            <w:tcW w:w="63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unrealized gains (losses), net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recorded net gains of $28.7 million and $49.2 million on these instruments to other (income) expense, net for the quarter and nine months ended September 25, 2022, respectively, and net gains of $3.6 million and $2.9 million for the quarter and nine months ended September 26, 2021, respectively, relating to the change in fair value of such derivatives, substantially offsetting gains and losses from the change in fair value of intercompany loans to which the contracts relate.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related to the Company's derivative financial instruments (see notes 5 and 10).</w:t>
      </w:r>
    </w:p>
    <w:p>
      <w:pPr>
        <w:spacing w:after="0" w:line="181" w:lineRule="exact"/>
        <w:rPr>
          <w:sz w:val="20"/>
          <w:szCs w:val="20"/>
          <w:color w:val="auto"/>
        </w:rPr>
      </w:pPr>
    </w:p>
    <w:p>
      <w:pPr>
        <w:ind w:left="360" w:hanging="352"/>
        <w:spacing w:after="0"/>
        <w:tabs>
          <w:tab w:leader="none" w:pos="3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Leases</w:t>
      </w:r>
    </w:p>
    <w:p>
      <w:pPr>
        <w:spacing w:after="0" w:line="18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Company occupies offices and uses certain equipment under various operating lease arrangements. The Company has no material finance leases. The Company's leases have remaining lease terms of 1 to 17 years, some of which include options to extend lease terms or options to terminate current lease terms at certain times, subject to notice requirements set out in the lease agreement. Payments under certain of the lease agreements may be subject to adjustment based on a consumer price index or other inflationary indices. The lease liability for such lease agreements as of the adoption date, was based on fixed payments as of the adoption date. Any adjustments to these payments based on the related indices will be recorded to expense as incurred. Leases with an expected term of 12 months or less are not capitalized. Lease expense under such leases is recorded straight line over the life of the lease. The Company capitalizes non-lease components for equipment leases, but expenses non-lease components as incurred for real estate leases.</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rent expense under such arrangements and similar arrangements that do not qualify as leases under ASU 2016-02, net of sublease income amounted to $24.2 million and $67.4 million for the quarter and nine months ended September 25, 2022, respectively, and $21.8 million and $66.0 million for the quarter and nine months ended September 26, 2021, respectively, and was not material to the Company's financial statements. Expenses related to short-term leases (expected terms less than 12 months) or variable lease payments was not material in the quarter or nine months ended September 25, 2022 or September 26,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801370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4" w:right="399" w:bottom="1440" w:gutter="0" w:footer="0" w:header="0"/>
        </w:sectPr>
      </w:pPr>
    </w:p>
    <w:bookmarkStart w:id="25" w:name="page26"/>
    <w:bookmarkEnd w:id="25"/>
    <w:p>
      <w:pPr>
        <w:ind w:left="350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(Millions of Dollars and Shares Except Per Share Data)</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related to the Company’s leases for the quarters ended September 25, 2022 and September 26, 2021 is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40" w:type="dxa"/>
            <w:vAlign w:val="bottom"/>
            <w:gridSpan w:val="5"/>
          </w:tcPr>
          <w:p>
            <w:pPr>
              <w:ind w:left="90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180" w:type="dxa"/>
            <w:vAlign w:val="bottom"/>
          </w:tcPr>
          <w:p>
            <w:pPr>
              <w:spacing w:after="0"/>
              <w:rPr>
                <w:sz w:val="20"/>
                <w:szCs w:val="20"/>
                <w:color w:val="auto"/>
              </w:rPr>
            </w:pPr>
          </w:p>
        </w:tc>
        <w:tc>
          <w:tcPr>
            <w:tcW w:w="3180" w:type="dxa"/>
            <w:vAlign w:val="bottom"/>
            <w:gridSpan w:val="3"/>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69"/>
        </w:trPr>
        <w:tc>
          <w:tcPr>
            <w:tcW w:w="38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gridSpan w:val="2"/>
          </w:tcPr>
          <w:p>
            <w:pPr>
              <w:ind w:left="80"/>
              <w:spacing w:after="0" w:line="169" w:lineRule="exact"/>
              <w:rPr>
                <w:sz w:val="20"/>
                <w:szCs w:val="20"/>
                <w:color w:val="auto"/>
              </w:rPr>
            </w:pPr>
            <w:r>
              <w:rPr>
                <w:rFonts w:ascii="Times New Roman" w:cs="Times New Roman" w:eastAsia="Times New Roman" w:hAnsi="Times New Roman"/>
                <w:sz w:val="18"/>
                <w:szCs w:val="18"/>
                <w:b w:val="1"/>
                <w:bCs w:val="1"/>
                <w:color w:val="auto"/>
              </w:rPr>
              <w:t>September 25,</w:t>
            </w:r>
          </w:p>
        </w:tc>
        <w:tc>
          <w:tcPr>
            <w:tcW w:w="18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jc w:val="right"/>
              <w:ind w:right="150"/>
              <w:spacing w:after="0" w:line="169" w:lineRule="exact"/>
              <w:rPr>
                <w:sz w:val="20"/>
                <w:szCs w:val="20"/>
                <w:color w:val="auto"/>
              </w:rPr>
            </w:pPr>
            <w:r>
              <w:rPr>
                <w:rFonts w:ascii="Times New Roman" w:cs="Times New Roman" w:eastAsia="Times New Roman" w:hAnsi="Times New Roman"/>
                <w:sz w:val="18"/>
                <w:szCs w:val="18"/>
                <w:b w:val="1"/>
                <w:bCs w:val="1"/>
                <w:color w:val="auto"/>
              </w:rPr>
              <w:t>September 26,</w:t>
            </w:r>
          </w:p>
        </w:tc>
        <w:tc>
          <w:tcPr>
            <w:tcW w:w="7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gridSpan w:val="2"/>
          </w:tcPr>
          <w:p>
            <w:pPr>
              <w:ind w:left="80"/>
              <w:spacing w:after="0" w:line="169" w:lineRule="exact"/>
              <w:rPr>
                <w:sz w:val="20"/>
                <w:szCs w:val="20"/>
                <w:color w:val="auto"/>
              </w:rPr>
            </w:pPr>
            <w:r>
              <w:rPr>
                <w:rFonts w:ascii="Times New Roman" w:cs="Times New Roman" w:eastAsia="Times New Roman" w:hAnsi="Times New Roman"/>
                <w:sz w:val="18"/>
                <w:szCs w:val="18"/>
                <w:b w:val="1"/>
                <w:bCs w:val="1"/>
                <w:color w:val="auto"/>
              </w:rPr>
              <w:t>September 25,</w:t>
            </w:r>
          </w:p>
        </w:tc>
        <w:tc>
          <w:tcPr>
            <w:tcW w:w="1640" w:type="dxa"/>
            <w:vAlign w:val="bottom"/>
            <w:tcBorders>
              <w:top w:val="single" w:sz="8" w:color="auto"/>
            </w:tcBorders>
          </w:tcPr>
          <w:p>
            <w:pPr>
              <w:jc w:val="right"/>
              <w:ind w:right="170"/>
              <w:spacing w:after="0" w:line="169" w:lineRule="exact"/>
              <w:rPr>
                <w:sz w:val="20"/>
                <w:szCs w:val="20"/>
                <w:color w:val="auto"/>
              </w:rPr>
            </w:pPr>
            <w:r>
              <w:rPr>
                <w:rFonts w:ascii="Times New Roman" w:cs="Times New Roman" w:eastAsia="Times New Roman" w:hAnsi="Times New Roman"/>
                <w:sz w:val="18"/>
                <w:szCs w:val="18"/>
                <w:b w:val="1"/>
                <w:bCs w:val="1"/>
                <w:color w:val="auto"/>
              </w:rPr>
              <w:t>September 26,</w:t>
            </w:r>
          </w:p>
        </w:tc>
      </w:tr>
      <w:tr>
        <w:trPr>
          <w:trHeight w:val="241"/>
        </w:trPr>
        <w:tc>
          <w:tcPr>
            <w:tcW w:w="38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7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16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158"/>
        </w:trPr>
        <w:tc>
          <w:tcPr>
            <w:tcW w:w="386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8"/>
                <w:szCs w:val="18"/>
                <w:color w:val="auto"/>
              </w:rPr>
              <w:t>Cash paid for amounts included in the measurement</w:t>
            </w:r>
          </w:p>
        </w:tc>
        <w:tc>
          <w:tcPr>
            <w:tcW w:w="18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r>
      <w:tr>
        <w:trPr>
          <w:trHeight w:val="243"/>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 lease liabilities:</w:t>
            </w:r>
          </w:p>
        </w:tc>
        <w:tc>
          <w:tcPr>
            <w:tcW w:w="1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r>
      <w:tr>
        <w:trPr>
          <w:trHeight w:val="229"/>
        </w:trPr>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13.7</w:t>
            </w:r>
          </w:p>
        </w:tc>
        <w:tc>
          <w:tcPr>
            <w:tcW w:w="7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Pr>
          <w:p>
            <w:pPr>
              <w:spacing w:after="0"/>
              <w:rPr>
                <w:sz w:val="19"/>
                <w:szCs w:val="19"/>
                <w:color w:val="auto"/>
              </w:rPr>
            </w:pPr>
          </w:p>
        </w:tc>
        <w:tc>
          <w:tcPr>
            <w:tcW w:w="1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39.9</w:t>
            </w:r>
          </w:p>
        </w:tc>
      </w:tr>
      <w:tr>
        <w:trPr>
          <w:trHeight w:val="176"/>
        </w:trPr>
        <w:tc>
          <w:tcPr>
            <w:tcW w:w="38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Right-of-use assets obtained in exchange for lease</w:t>
            </w:r>
          </w:p>
        </w:tc>
        <w:tc>
          <w:tcPr>
            <w:tcW w:w="1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r>
      <w:tr>
        <w:trPr>
          <w:trHeight w:val="243"/>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obligations:</w:t>
            </w:r>
          </w:p>
        </w:tc>
        <w:tc>
          <w:tcPr>
            <w:tcW w:w="1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r>
      <w:tr>
        <w:trPr>
          <w:trHeight w:val="229"/>
        </w:trPr>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leases net of lease modifications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10.4</w:t>
            </w:r>
          </w:p>
        </w:tc>
        <w:tc>
          <w:tcPr>
            <w:tcW w:w="7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21.8</w:t>
            </w:r>
          </w:p>
        </w:tc>
      </w:tr>
      <w:tr>
        <w:trPr>
          <w:trHeight w:val="270"/>
        </w:trPr>
        <w:tc>
          <w:tcPr>
            <w:tcW w:w="38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r>
      <w:tr>
        <w:trPr>
          <w:trHeight w:val="229"/>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3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1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4.5 years</w:t>
            </w:r>
          </w:p>
        </w:tc>
        <w:tc>
          <w:tcPr>
            <w:tcW w:w="18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5.6 years</w:t>
            </w:r>
          </w:p>
        </w:tc>
        <w:tc>
          <w:tcPr>
            <w:tcW w:w="1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4.5 years</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years</w:t>
            </w:r>
          </w:p>
        </w:tc>
      </w:tr>
      <w:tr>
        <w:trPr>
          <w:trHeight w:val="229"/>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29"/>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r>
    </w:tbl>
    <w:p>
      <w:pPr>
        <w:spacing w:after="0" w:line="333"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future undiscounted cash flows to the operating liabilities, and the related right of use assets, included in our consolidated balance sheets as of September 25, 2022:</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4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jc w:val="right"/>
              <w:ind w:right="250"/>
              <w:spacing w:after="0" w:line="189" w:lineRule="exact"/>
              <w:rPr>
                <w:sz w:val="20"/>
                <w:szCs w:val="20"/>
                <w:color w:val="auto"/>
              </w:rPr>
            </w:pPr>
            <w:r>
              <w:rPr>
                <w:rFonts w:ascii="Times New Roman" w:cs="Times New Roman" w:eastAsia="Times New Roman" w:hAnsi="Times New Roman"/>
                <w:sz w:val="18"/>
                <w:szCs w:val="18"/>
                <w:b w:val="1"/>
                <w:bCs w:val="1"/>
                <w:color w:val="auto"/>
              </w:rPr>
              <w:t>September 25,</w:t>
            </w:r>
          </w:p>
        </w:tc>
      </w:tr>
      <w:tr>
        <w:trPr>
          <w:trHeight w:val="241"/>
        </w:trPr>
        <w:tc>
          <w:tcPr>
            <w:tcW w:w="94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5"/>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 (excluding the nine months ended September 25, 2022)</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30"/>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r>
      <w:tr>
        <w:trPr>
          <w:trHeight w:val="229"/>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r>
      <w:tr>
        <w:trPr>
          <w:trHeight w:val="230"/>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r>
      <w:tr>
        <w:trPr>
          <w:trHeight w:val="229"/>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30"/>
        </w:trPr>
        <w:tc>
          <w:tcPr>
            <w:tcW w:w="9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2027 and thereafter</w:t>
            </w: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223"/>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w:t>
            </w:r>
          </w:p>
        </w:tc>
      </w:tr>
      <w:tr>
        <w:trPr>
          <w:trHeight w:val="230"/>
        </w:trPr>
        <w:tc>
          <w:tcPr>
            <w:tcW w:w="9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23"/>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future operating lease payments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w:t>
            </w:r>
          </w:p>
        </w:tc>
      </w:tr>
      <w:tr>
        <w:trPr>
          <w:trHeight w:val="230"/>
        </w:trPr>
        <w:tc>
          <w:tcPr>
            <w:tcW w:w="948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Less current portion of operating lease liabilities </w:t>
            </w:r>
            <w:r>
              <w:rPr>
                <w:rFonts w:ascii="Times New Roman" w:cs="Times New Roman" w:eastAsia="Times New Roman" w:hAnsi="Times New Roman"/>
                <w:sz w:val="23"/>
                <w:szCs w:val="23"/>
                <w:color w:val="auto"/>
                <w:vertAlign w:val="superscript"/>
              </w:rPr>
              <w:t>(1)</w:t>
            </w: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w:t>
            </w:r>
          </w:p>
        </w:tc>
      </w:tr>
      <w:tr>
        <w:trPr>
          <w:trHeight w:val="248"/>
        </w:trPr>
        <w:tc>
          <w:tcPr>
            <w:tcW w:w="948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Non-current operating lease liability </w:t>
            </w:r>
            <w:r>
              <w:rPr>
                <w:rFonts w:ascii="Times New Roman" w:cs="Times New Roman" w:eastAsia="Times New Roman" w:hAnsi="Times New Roman"/>
                <w:sz w:val="23"/>
                <w:szCs w:val="23"/>
                <w:color w:val="auto"/>
                <w:vertAlign w:val="superscript"/>
              </w:rPr>
              <w:t>(2)</w:t>
            </w:r>
          </w:p>
        </w:tc>
        <w:tc>
          <w:tcPr>
            <w:tcW w:w="22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w:t>
            </w: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94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 xml:space="preserve">Operating lease right-of-use assets, net </w:t>
            </w:r>
            <w:r>
              <w:rPr>
                <w:rFonts w:ascii="Times New Roman" w:cs="Times New Roman" w:eastAsia="Times New Roman" w:hAnsi="Times New Roman"/>
                <w:sz w:val="23"/>
                <w:szCs w:val="23"/>
                <w:color w:val="auto"/>
                <w:vertAlign w:val="superscript"/>
              </w:rPr>
              <w:t>(3)</w:t>
            </w:r>
          </w:p>
        </w:tc>
        <w:tc>
          <w:tcPr>
            <w:tcW w:w="22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120.1</w:t>
            </w:r>
          </w:p>
        </w:tc>
      </w:tr>
      <w:tr>
        <w:trPr>
          <w:trHeight w:val="21"/>
        </w:trPr>
        <w:tc>
          <w:tcPr>
            <w:tcW w:w="9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180" w:hanging="172"/>
        <w:spacing w:after="0"/>
        <w:tabs>
          <w:tab w:leader="none" w:pos="180" w:val="left"/>
        </w:tabs>
        <w:numPr>
          <w:ilvl w:val="0"/>
          <w:numId w:val="2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Included in Accrued liabilities on the consolidated balance sheets.</w:t>
      </w:r>
    </w:p>
    <w:p>
      <w:pPr>
        <w:spacing w:after="0" w:line="1" w:lineRule="exact"/>
        <w:rPr>
          <w:rFonts w:ascii="Times New Roman" w:cs="Times New Roman" w:eastAsia="Times New Roman" w:hAnsi="Times New Roman"/>
          <w:sz w:val="22"/>
          <w:szCs w:val="22"/>
          <w:color w:val="auto"/>
          <w:vertAlign w:val="superscript"/>
        </w:rPr>
      </w:pPr>
    </w:p>
    <w:p>
      <w:pPr>
        <w:ind w:left="180" w:hanging="172"/>
        <w:spacing w:after="0" w:line="203" w:lineRule="auto"/>
        <w:tabs>
          <w:tab w:leader="none" w:pos="180" w:val="left"/>
        </w:tabs>
        <w:numPr>
          <w:ilvl w:val="0"/>
          <w:numId w:val="2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Included in Other liabilities on the consolidated balance sheets.</w:t>
      </w:r>
    </w:p>
    <w:p>
      <w:pPr>
        <w:spacing w:after="0" w:line="2" w:lineRule="exact"/>
        <w:rPr>
          <w:rFonts w:ascii="Times New Roman" w:cs="Times New Roman" w:eastAsia="Times New Roman" w:hAnsi="Times New Roman"/>
          <w:sz w:val="22"/>
          <w:szCs w:val="22"/>
          <w:color w:val="auto"/>
          <w:vertAlign w:val="superscript"/>
        </w:rPr>
      </w:pPr>
    </w:p>
    <w:p>
      <w:pPr>
        <w:ind w:left="180" w:hanging="172"/>
        <w:spacing w:after="0" w:line="203" w:lineRule="auto"/>
        <w:tabs>
          <w:tab w:leader="none" w:pos="180" w:val="left"/>
        </w:tabs>
        <w:numPr>
          <w:ilvl w:val="0"/>
          <w:numId w:val="2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Included in Property, plant, and equipment on the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544830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26" w:name="page27"/>
    <w:bookmarkEnd w:id="26"/>
    <w:p>
      <w:pPr>
        <w:ind w:left="350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(Millions of Dollars and Shares Except Per Share Data)</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60" w:hanging="352"/>
        <w:spacing w:after="0"/>
        <w:tabs>
          <w:tab w:leader="none" w:pos="3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Segment Reporting</w:t>
      </w:r>
    </w:p>
    <w:p>
      <w:pPr>
        <w:spacing w:after="0" w:line="20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Hasbro is a global play and entertainment company with a broad portfolio of brands and entertainment content spanning toys, games, licensed products ranging from traditional to digital, as well as film and television entertainment. Effective for the three months ended March 28, 2021, the Company realigned its reportable segment structure to: (1) align with changes to its business structure subsequent to the integration of eOne; and (2) reflect changes to its reporting structure and provide transparency into how operating performance is measured. The Company's three principal reportable segments are (i) Consumer Products, (ii) Wizards of the Coast and Digital Gaming, and (iii) Entertainment.</w:t>
      </w:r>
    </w:p>
    <w:p>
      <w:pPr>
        <w:spacing w:after="0" w:line="14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Consumer Products segment engages in the sourcing, marketing and sales of toy and game products around the world. The Consumer Products business also promotes the Company's brands through the out-licensing of our trademarks, characters and other brand and intellectual property rights to third parties, through the sale of branded consumer products such as toys and apparel. The Wizards of the Coast and Digital Gaming business engages in the promotion of the Company's brands through the development of trading card, role-playing and digital game experiences based on Hasbro and Wizards of the Coast games. Additionally, the Company out-licenses certain brands to other third-party digital game developers who transform Hasbro brand-based characters and other intellectual properties, into digital gaming experiences. The Entertainment segment engages in the development, acquisition, production, financing, distribution and sale of world-class entertainment content including film, scripted and unscripted television, family programming, digital content and live entertainment.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significant accounting policies of the Company's segments are the same as those referenced in note 1.</w:t>
      </w:r>
    </w:p>
    <w:p>
      <w:pPr>
        <w:spacing w:after="0" w:line="19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Results shown for the quarter ended September 25, 2022 are not necessarily representative of those which may be expected for the full year 2022, nor were those of the comparable 2021 periods representative of those actually experienced for the full year 2021. Similarly, such results are not necessarily those which would be achieved were each segment an unaffiliated business enterprise.</w:t>
      </w:r>
    </w:p>
    <w:p>
      <w:pPr>
        <w:spacing w:after="0" w:line="13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Information by segment and a reconciliation to reported amounts for the quarters and nine months ended September 25, 2022 and September 26, 2021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Quarter Ended</w:t>
            </w: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2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September 25, 2022</w:t>
            </w:r>
          </w:p>
        </w:tc>
        <w:tc>
          <w:tcPr>
            <w:tcW w:w="220" w:type="dxa"/>
            <w:vAlign w:val="bottom"/>
          </w:tcPr>
          <w:p>
            <w:pPr>
              <w:spacing w:after="0"/>
              <w:rPr>
                <w:sz w:val="19"/>
                <w:szCs w:val="19"/>
                <w:color w:val="auto"/>
              </w:rPr>
            </w:pPr>
          </w:p>
        </w:tc>
        <w:tc>
          <w:tcPr>
            <w:tcW w:w="2540" w:type="dxa"/>
            <w:vAlign w:val="bottom"/>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September 26, 2021</w:t>
            </w:r>
          </w:p>
        </w:tc>
        <w:tc>
          <w:tcPr>
            <w:tcW w:w="40" w:type="dxa"/>
            <w:vAlign w:val="bottom"/>
          </w:tcPr>
          <w:p>
            <w:pPr>
              <w:spacing w:after="0"/>
              <w:rPr>
                <w:sz w:val="19"/>
                <w:szCs w:val="19"/>
                <w:color w:val="auto"/>
              </w:rPr>
            </w:pPr>
          </w:p>
        </w:tc>
      </w:tr>
      <w:tr>
        <w:trPr>
          <w:trHeight w:val="182"/>
        </w:trPr>
        <w:tc>
          <w:tcPr>
            <w:tcW w:w="20" w:type="dxa"/>
            <w:vAlign w:val="bottom"/>
          </w:tcPr>
          <w:p>
            <w:pPr>
              <w:spacing w:after="0"/>
              <w:rPr>
                <w:sz w:val="15"/>
                <w:szCs w:val="15"/>
                <w:color w:val="auto"/>
              </w:rPr>
            </w:pPr>
          </w:p>
        </w:tc>
        <w:tc>
          <w:tcPr>
            <w:tcW w:w="558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Net revenues</w:t>
            </w:r>
          </w:p>
        </w:tc>
        <w:tc>
          <w:tcPr>
            <w:tcW w:w="2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gridSpan w:val="2"/>
          </w:tcPr>
          <w:p>
            <w:pPr>
              <w:ind w:left="100"/>
              <w:spacing w:after="0" w:line="182" w:lineRule="exact"/>
              <w:rPr>
                <w:sz w:val="20"/>
                <w:szCs w:val="20"/>
                <w:color w:val="auto"/>
              </w:rPr>
            </w:pPr>
            <w:r>
              <w:rPr>
                <w:rFonts w:ascii="Times New Roman" w:cs="Times New Roman" w:eastAsia="Times New Roman" w:hAnsi="Times New Roman"/>
                <w:sz w:val="18"/>
                <w:szCs w:val="18"/>
                <w:b w:val="1"/>
                <w:bCs w:val="1"/>
                <w:color w:val="auto"/>
              </w:rPr>
              <w:t>External</w:t>
            </w:r>
          </w:p>
        </w:tc>
        <w:tc>
          <w:tcPr>
            <w:tcW w:w="18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170"/>
              <w:spacing w:after="0" w:line="182" w:lineRule="exact"/>
              <w:rPr>
                <w:sz w:val="20"/>
                <w:szCs w:val="20"/>
                <w:color w:val="auto"/>
              </w:rPr>
            </w:pPr>
            <w:r>
              <w:rPr>
                <w:rFonts w:ascii="Times New Roman" w:cs="Times New Roman" w:eastAsia="Times New Roman" w:hAnsi="Times New Roman"/>
                <w:sz w:val="18"/>
                <w:szCs w:val="18"/>
                <w:b w:val="1"/>
                <w:bCs w:val="1"/>
                <w:color w:val="auto"/>
              </w:rPr>
              <w:t xml:space="preserve">Affiliate </w:t>
            </w:r>
            <w:r>
              <w:rPr>
                <w:rFonts w:ascii="Times New Roman" w:cs="Times New Roman" w:eastAsia="Times New Roman" w:hAnsi="Times New Roman"/>
                <w:sz w:val="12"/>
                <w:szCs w:val="12"/>
                <w:b w:val="1"/>
                <w:bCs w:val="1"/>
                <w:color w:val="auto"/>
              </w:rPr>
              <w:t>(c)</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gridSpan w:val="2"/>
          </w:tcPr>
          <w:p>
            <w:pPr>
              <w:ind w:left="120"/>
              <w:spacing w:after="0" w:line="182" w:lineRule="exact"/>
              <w:rPr>
                <w:sz w:val="20"/>
                <w:szCs w:val="20"/>
                <w:color w:val="auto"/>
              </w:rPr>
            </w:pPr>
            <w:r>
              <w:rPr>
                <w:rFonts w:ascii="Times New Roman" w:cs="Times New Roman" w:eastAsia="Times New Roman" w:hAnsi="Times New Roman"/>
                <w:sz w:val="18"/>
                <w:szCs w:val="18"/>
                <w:b w:val="1"/>
                <w:bCs w:val="1"/>
                <w:color w:val="auto"/>
              </w:rPr>
              <w:t>External</w:t>
            </w:r>
          </w:p>
        </w:tc>
        <w:tc>
          <w:tcPr>
            <w:tcW w:w="18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170"/>
              <w:spacing w:after="0" w:line="182" w:lineRule="exact"/>
              <w:rPr>
                <w:sz w:val="20"/>
                <w:szCs w:val="20"/>
                <w:color w:val="auto"/>
              </w:rPr>
            </w:pPr>
            <w:r>
              <w:rPr>
                <w:rFonts w:ascii="Times New Roman" w:cs="Times New Roman" w:eastAsia="Times New Roman" w:hAnsi="Times New Roman"/>
                <w:sz w:val="18"/>
                <w:szCs w:val="18"/>
                <w:b w:val="1"/>
                <w:bCs w:val="1"/>
                <w:color w:val="auto"/>
              </w:rPr>
              <w:t xml:space="preserve">Affiliate </w:t>
            </w:r>
            <w:r>
              <w:rPr>
                <w:rFonts w:ascii="Times New Roman" w:cs="Times New Roman" w:eastAsia="Times New Roman" w:hAnsi="Times New Roman"/>
                <w:sz w:val="12"/>
                <w:szCs w:val="12"/>
                <w:b w:val="1"/>
                <w:bCs w:val="1"/>
                <w:color w:val="auto"/>
              </w:rPr>
              <w:t>(c)</w:t>
            </w:r>
          </w:p>
        </w:tc>
        <w:tc>
          <w:tcPr>
            <w:tcW w:w="40" w:type="dxa"/>
            <w:vAlign w:val="bottom"/>
          </w:tcPr>
          <w:p>
            <w:pPr>
              <w:spacing w:after="0"/>
              <w:rPr>
                <w:sz w:val="15"/>
                <w:szCs w:val="15"/>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45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Consumer Products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Wizards of the Coast and Digital Gaming</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4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Entertainment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Corporate and Other </w:t>
            </w:r>
            <w:r>
              <w:rPr>
                <w:rFonts w:ascii="Times New Roman" w:cs="Times New Roman" w:eastAsia="Times New Roman" w:hAnsi="Times New Roman"/>
                <w:sz w:val="12"/>
                <w:szCs w:val="12"/>
                <w:color w:val="auto"/>
              </w:rPr>
              <w:t>(a)</w:t>
            </w: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40" w:type="dxa"/>
            <w:vAlign w:val="bottom"/>
          </w:tcPr>
          <w:p>
            <w:pPr>
              <w:spacing w:after="0"/>
              <w:rPr>
                <w:sz w:val="19"/>
                <w:szCs w:val="19"/>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CCEEFF"/>
              <w:bottom w:val="single" w:sz="8" w:color="CCEEFF"/>
            </w:tcBorders>
            <w:shd w:val="clear" w:color="auto" w:fill="CCEEFF"/>
          </w:tcPr>
          <w:p>
            <w:pPr>
              <w:spacing w:after="0"/>
              <w:rPr>
                <w:sz w:val="21"/>
                <w:szCs w:val="21"/>
                <w:color w:val="auto"/>
              </w:rPr>
            </w:pPr>
          </w:p>
        </w:tc>
        <w:tc>
          <w:tcPr>
            <w:tcW w:w="45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00"/>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2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September 25, 2022</w:t>
            </w:r>
          </w:p>
        </w:tc>
        <w:tc>
          <w:tcPr>
            <w:tcW w:w="220" w:type="dxa"/>
            <w:vAlign w:val="bottom"/>
          </w:tcPr>
          <w:p>
            <w:pPr>
              <w:spacing w:after="0"/>
              <w:rPr>
                <w:sz w:val="19"/>
                <w:szCs w:val="19"/>
                <w:color w:val="auto"/>
              </w:rPr>
            </w:pPr>
          </w:p>
        </w:tc>
        <w:tc>
          <w:tcPr>
            <w:tcW w:w="2540" w:type="dxa"/>
            <w:vAlign w:val="bottom"/>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September 26, 2021</w:t>
            </w:r>
          </w:p>
        </w:tc>
        <w:tc>
          <w:tcPr>
            <w:tcW w:w="40" w:type="dxa"/>
            <w:vAlign w:val="bottom"/>
          </w:tcPr>
          <w:p>
            <w:pPr>
              <w:spacing w:after="0"/>
              <w:rPr>
                <w:sz w:val="19"/>
                <w:szCs w:val="19"/>
                <w:color w:val="auto"/>
              </w:rPr>
            </w:pPr>
          </w:p>
        </w:tc>
      </w:tr>
      <w:tr>
        <w:trPr>
          <w:trHeight w:val="183"/>
        </w:trPr>
        <w:tc>
          <w:tcPr>
            <w:tcW w:w="20" w:type="dxa"/>
            <w:vAlign w:val="bottom"/>
          </w:tcPr>
          <w:p>
            <w:pPr>
              <w:spacing w:after="0"/>
              <w:rPr>
                <w:sz w:val="15"/>
                <w:szCs w:val="15"/>
                <w:color w:val="auto"/>
              </w:rPr>
            </w:pPr>
          </w:p>
        </w:tc>
        <w:tc>
          <w:tcPr>
            <w:tcW w:w="558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Net revenues</w:t>
            </w:r>
          </w:p>
        </w:tc>
        <w:tc>
          <w:tcPr>
            <w:tcW w:w="2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gridSpan w:val="2"/>
          </w:tcPr>
          <w:p>
            <w:pPr>
              <w:ind w:left="100"/>
              <w:spacing w:after="0" w:line="182" w:lineRule="exact"/>
              <w:rPr>
                <w:sz w:val="20"/>
                <w:szCs w:val="20"/>
                <w:color w:val="auto"/>
              </w:rPr>
            </w:pPr>
            <w:r>
              <w:rPr>
                <w:rFonts w:ascii="Times New Roman" w:cs="Times New Roman" w:eastAsia="Times New Roman" w:hAnsi="Times New Roman"/>
                <w:sz w:val="18"/>
                <w:szCs w:val="18"/>
                <w:b w:val="1"/>
                <w:bCs w:val="1"/>
                <w:color w:val="auto"/>
              </w:rPr>
              <w:t>External</w:t>
            </w:r>
          </w:p>
        </w:tc>
        <w:tc>
          <w:tcPr>
            <w:tcW w:w="18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170"/>
              <w:spacing w:after="0" w:line="182" w:lineRule="exact"/>
              <w:rPr>
                <w:sz w:val="20"/>
                <w:szCs w:val="20"/>
                <w:color w:val="auto"/>
              </w:rPr>
            </w:pPr>
            <w:r>
              <w:rPr>
                <w:rFonts w:ascii="Times New Roman" w:cs="Times New Roman" w:eastAsia="Times New Roman" w:hAnsi="Times New Roman"/>
                <w:sz w:val="18"/>
                <w:szCs w:val="18"/>
                <w:b w:val="1"/>
                <w:bCs w:val="1"/>
                <w:color w:val="auto"/>
              </w:rPr>
              <w:t xml:space="preserve">Affiliate </w:t>
            </w:r>
            <w:r>
              <w:rPr>
                <w:rFonts w:ascii="Times New Roman" w:cs="Times New Roman" w:eastAsia="Times New Roman" w:hAnsi="Times New Roman"/>
                <w:sz w:val="12"/>
                <w:szCs w:val="12"/>
                <w:b w:val="1"/>
                <w:bCs w:val="1"/>
                <w:color w:val="auto"/>
              </w:rPr>
              <w:t>(c)</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gridSpan w:val="2"/>
          </w:tcPr>
          <w:p>
            <w:pPr>
              <w:ind w:left="120"/>
              <w:spacing w:after="0" w:line="182" w:lineRule="exact"/>
              <w:rPr>
                <w:sz w:val="20"/>
                <w:szCs w:val="20"/>
                <w:color w:val="auto"/>
              </w:rPr>
            </w:pPr>
            <w:r>
              <w:rPr>
                <w:rFonts w:ascii="Times New Roman" w:cs="Times New Roman" w:eastAsia="Times New Roman" w:hAnsi="Times New Roman"/>
                <w:sz w:val="18"/>
                <w:szCs w:val="18"/>
                <w:b w:val="1"/>
                <w:bCs w:val="1"/>
                <w:color w:val="auto"/>
              </w:rPr>
              <w:t>External</w:t>
            </w:r>
          </w:p>
        </w:tc>
        <w:tc>
          <w:tcPr>
            <w:tcW w:w="18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170"/>
              <w:spacing w:after="0" w:line="182" w:lineRule="exact"/>
              <w:rPr>
                <w:sz w:val="20"/>
                <w:szCs w:val="20"/>
                <w:color w:val="auto"/>
              </w:rPr>
            </w:pPr>
            <w:r>
              <w:rPr>
                <w:rFonts w:ascii="Times New Roman" w:cs="Times New Roman" w:eastAsia="Times New Roman" w:hAnsi="Times New Roman"/>
                <w:sz w:val="18"/>
                <w:szCs w:val="18"/>
                <w:b w:val="1"/>
                <w:bCs w:val="1"/>
                <w:color w:val="auto"/>
              </w:rPr>
              <w:t xml:space="preserve">Affiliate </w:t>
            </w:r>
            <w:r>
              <w:rPr>
                <w:rFonts w:ascii="Times New Roman" w:cs="Times New Roman" w:eastAsia="Times New Roman" w:hAnsi="Times New Roman"/>
                <w:sz w:val="12"/>
                <w:szCs w:val="12"/>
                <w:b w:val="1"/>
                <w:bCs w:val="1"/>
                <w:color w:val="auto"/>
              </w:rPr>
              <w:t>(c)</w:t>
            </w:r>
          </w:p>
        </w:tc>
        <w:tc>
          <w:tcPr>
            <w:tcW w:w="40" w:type="dxa"/>
            <w:vAlign w:val="bottom"/>
          </w:tcPr>
          <w:p>
            <w:pPr>
              <w:spacing w:after="0"/>
              <w:rPr>
                <w:sz w:val="15"/>
                <w:szCs w:val="15"/>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45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Consumer Products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(316.8)</w:t>
            </w:r>
          </w:p>
        </w:tc>
        <w:tc>
          <w:tcPr>
            <w:tcW w:w="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Wizards of the Coast and Digital Gaming</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4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Entertainment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Corporate and Other </w:t>
            </w:r>
            <w:r>
              <w:rPr>
                <w:rFonts w:ascii="Times New Roman" w:cs="Times New Roman" w:eastAsia="Times New Roman" w:hAnsi="Times New Roman"/>
                <w:sz w:val="12"/>
                <w:szCs w:val="12"/>
                <w:color w:val="auto"/>
              </w:rPr>
              <w:t>(a)</w:t>
            </w: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450.3</w:t>
            </w:r>
          </w:p>
        </w:tc>
        <w:tc>
          <w:tcPr>
            <w:tcW w:w="40" w:type="dxa"/>
            <w:vAlign w:val="bottom"/>
          </w:tcPr>
          <w:p>
            <w:pPr>
              <w:spacing w:after="0"/>
              <w:rPr>
                <w:sz w:val="19"/>
                <w:szCs w:val="19"/>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CCEEFF"/>
              <w:bottom w:val="single" w:sz="8" w:color="CCEEFF"/>
            </w:tcBorders>
            <w:shd w:val="clear" w:color="auto" w:fill="CCEEFF"/>
          </w:tcPr>
          <w:p>
            <w:pPr>
              <w:spacing w:after="0"/>
              <w:rPr>
                <w:sz w:val="21"/>
                <w:szCs w:val="21"/>
                <w:color w:val="auto"/>
              </w:rPr>
            </w:pPr>
          </w:p>
        </w:tc>
        <w:tc>
          <w:tcPr>
            <w:tcW w:w="45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4,178.2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4,407.0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72"/>
        </w:trPr>
        <w:tc>
          <w:tcPr>
            <w:tcW w:w="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45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27" w:name="page28"/>
    <w:bookmarkEnd w:id="27"/>
    <w:p>
      <w:pPr>
        <w:ind w:left="350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(Millions of Dollars and Shares Except Per Share Data)</w:t>
      </w: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00" w:type="dxa"/>
            <w:vAlign w:val="bottom"/>
            <w:gridSpan w:val="5"/>
          </w:tcPr>
          <w:p>
            <w:pPr>
              <w:ind w:left="84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160" w:type="dxa"/>
            <w:vAlign w:val="bottom"/>
          </w:tcPr>
          <w:p>
            <w:pPr>
              <w:spacing w:after="0"/>
              <w:rPr>
                <w:sz w:val="20"/>
                <w:szCs w:val="20"/>
                <w:color w:val="auto"/>
              </w:rPr>
            </w:pPr>
          </w:p>
        </w:tc>
        <w:tc>
          <w:tcPr>
            <w:tcW w:w="3020" w:type="dxa"/>
            <w:vAlign w:val="bottom"/>
            <w:gridSpan w:val="4"/>
          </w:tcPr>
          <w:p>
            <w:pPr>
              <w:ind w:left="66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Operating profit (loss)</w:t>
            </w:r>
          </w:p>
        </w:tc>
        <w:tc>
          <w:tcPr>
            <w:tcW w:w="16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gridSpan w:val="2"/>
          </w:tcPr>
          <w:p>
            <w:pPr>
              <w:ind w:left="60"/>
              <w:spacing w:after="0" w:line="174" w:lineRule="exact"/>
              <w:rPr>
                <w:sz w:val="20"/>
                <w:szCs w:val="20"/>
                <w:color w:val="auto"/>
              </w:rPr>
            </w:pPr>
            <w:r>
              <w:rPr>
                <w:rFonts w:ascii="Times New Roman" w:cs="Times New Roman" w:eastAsia="Times New Roman" w:hAnsi="Times New Roman"/>
                <w:sz w:val="18"/>
                <w:szCs w:val="18"/>
                <w:b w:val="1"/>
                <w:bCs w:val="1"/>
                <w:color w:val="auto"/>
              </w:rPr>
              <w:t>September 25,</w:t>
            </w:r>
          </w:p>
        </w:tc>
        <w:tc>
          <w:tcPr>
            <w:tcW w:w="16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ind w:right="130"/>
              <w:spacing w:after="0" w:line="174" w:lineRule="exact"/>
              <w:rPr>
                <w:sz w:val="20"/>
                <w:szCs w:val="20"/>
                <w:color w:val="auto"/>
              </w:rPr>
            </w:pPr>
            <w:r>
              <w:rPr>
                <w:rFonts w:ascii="Times New Roman" w:cs="Times New Roman" w:eastAsia="Times New Roman" w:hAnsi="Times New Roman"/>
                <w:sz w:val="18"/>
                <w:szCs w:val="18"/>
                <w:b w:val="1"/>
                <w:bCs w:val="1"/>
                <w:color w:val="auto"/>
              </w:rPr>
              <w:t>September 26,</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gridSpan w:val="2"/>
          </w:tcPr>
          <w:p>
            <w:pPr>
              <w:ind w:left="60"/>
              <w:spacing w:after="0" w:line="174" w:lineRule="exact"/>
              <w:rPr>
                <w:sz w:val="20"/>
                <w:szCs w:val="20"/>
                <w:color w:val="auto"/>
              </w:rPr>
            </w:pPr>
            <w:r>
              <w:rPr>
                <w:rFonts w:ascii="Times New Roman" w:cs="Times New Roman" w:eastAsia="Times New Roman" w:hAnsi="Times New Roman"/>
                <w:sz w:val="18"/>
                <w:szCs w:val="18"/>
                <w:b w:val="1"/>
                <w:bCs w:val="1"/>
                <w:color w:val="auto"/>
              </w:rPr>
              <w:t>September 25,</w:t>
            </w:r>
          </w:p>
        </w:tc>
        <w:tc>
          <w:tcPr>
            <w:tcW w:w="16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ind w:left="60"/>
              <w:spacing w:after="0" w:line="174" w:lineRule="exact"/>
              <w:rPr>
                <w:sz w:val="20"/>
                <w:szCs w:val="20"/>
                <w:color w:val="auto"/>
              </w:rPr>
            </w:pPr>
            <w:r>
              <w:rPr>
                <w:rFonts w:ascii="Times New Roman" w:cs="Times New Roman" w:eastAsia="Times New Roman" w:hAnsi="Times New Roman"/>
                <w:sz w:val="18"/>
                <w:szCs w:val="18"/>
                <w:b w:val="1"/>
                <w:bCs w:val="1"/>
                <w:color w:val="auto"/>
              </w:rPr>
              <w:t>September 26,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7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ind w:left="420"/>
              <w:spacing w:after="0" w:line="198" w:lineRule="exact"/>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ind w:right="490"/>
              <w:spacing w:after="0" w:line="198" w:lineRule="exact"/>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490"/>
              <w:spacing w:after="0" w:line="198" w:lineRule="exact"/>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ind w:left="440"/>
              <w:spacing w:after="0" w:line="198" w:lineRule="exact"/>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720" w:type="dxa"/>
            <w:vAlign w:val="bottom"/>
            <w:tcBorders>
              <w:top w:val="single" w:sz="8" w:color="auto"/>
              <w:bottom w:val="single" w:sz="8" w:color="CCEEFF"/>
            </w:tcBorders>
          </w:tcPr>
          <w:p>
            <w:pPr>
              <w:spacing w:after="0" w:line="20" w:lineRule="exact"/>
              <w:rPr>
                <w:sz w:val="1"/>
                <w:szCs w:val="1"/>
                <w:color w:val="auto"/>
              </w:rPr>
            </w:pPr>
          </w:p>
        </w:tc>
        <w:tc>
          <w:tcPr>
            <w:tcW w:w="30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Consumer Products </w:t>
            </w:r>
            <w:r>
              <w:rPr>
                <w:rFonts w:ascii="Times New Roman" w:cs="Times New Roman" w:eastAsia="Times New Roman" w:hAnsi="Times New Roman"/>
                <w:sz w:val="12"/>
                <w:szCs w:val="12"/>
                <w:color w:val="auto"/>
              </w:rPr>
              <w:t>(a)</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136.8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260.5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Wizards of the Coast and Digital Gaming</w:t>
            </w:r>
          </w:p>
        </w:tc>
        <w:tc>
          <w:tcPr>
            <w:tcW w:w="160" w:type="dxa"/>
            <w:vAlign w:val="bottom"/>
          </w:tcPr>
          <w:p>
            <w:pPr>
              <w:spacing w:after="0"/>
              <w:rPr>
                <w:sz w:val="19"/>
                <w:szCs w:val="19"/>
                <w:color w:val="auto"/>
              </w:rPr>
            </w:pPr>
          </w:p>
        </w:tc>
        <w:tc>
          <w:tcPr>
            <w:tcW w:w="13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102.2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462.3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Entertainment </w:t>
            </w:r>
            <w:r>
              <w:rPr>
                <w:rFonts w:ascii="Times New Roman" w:cs="Times New Roman" w:eastAsia="Times New Roman" w:hAnsi="Times New Roman"/>
                <w:sz w:val="12"/>
                <w:szCs w:val="12"/>
                <w:color w:val="auto"/>
              </w:rPr>
              <w:t>(a)</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(28.9)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(74.3)</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7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 xml:space="preserve">Corporate and Other </w:t>
            </w:r>
            <w:r>
              <w:rPr>
                <w:rFonts w:ascii="Times New Roman" w:cs="Times New Roman" w:eastAsia="Times New Roman" w:hAnsi="Times New Roman"/>
                <w:sz w:val="12"/>
                <w:szCs w:val="12"/>
                <w:color w:val="auto"/>
              </w:rPr>
              <w:t>(a)</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(56.7)</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30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194.3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591.8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Pr>
          <w:p>
            <w:pPr>
              <w:spacing w:after="0"/>
              <w:rPr>
                <w:sz w:val="17"/>
                <w:szCs w:val="17"/>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September 25,</w:t>
            </w:r>
          </w:p>
        </w:tc>
        <w:tc>
          <w:tcPr>
            <w:tcW w:w="160" w:type="dxa"/>
            <w:vAlign w:val="bottom"/>
          </w:tcPr>
          <w:p>
            <w:pPr>
              <w:spacing w:after="0"/>
              <w:rPr>
                <w:sz w:val="17"/>
                <w:szCs w:val="17"/>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26,</w:t>
            </w:r>
          </w:p>
        </w:tc>
        <w:tc>
          <w:tcPr>
            <w:tcW w:w="180" w:type="dxa"/>
            <w:vAlign w:val="bottom"/>
          </w:tcPr>
          <w:p>
            <w:pPr>
              <w:spacing w:after="0"/>
              <w:rPr>
                <w:sz w:val="17"/>
                <w:szCs w:val="17"/>
                <w:color w:val="auto"/>
              </w:rPr>
            </w:pP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26,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3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ind w:right="490"/>
              <w:spacing w:after="0" w:line="198" w:lineRule="exact"/>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510"/>
              <w:spacing w:after="0" w:line="198" w:lineRule="exact"/>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ind w:right="490"/>
              <w:spacing w:after="0" w:line="198" w:lineRule="exact"/>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55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Consumer Products </w:t>
            </w:r>
            <w:r>
              <w:rPr>
                <w:rFonts w:ascii="Times New Roman" w:cs="Times New Roman" w:eastAsia="Times New Roman" w:hAnsi="Times New Roman"/>
                <w:sz w:val="12"/>
                <w:szCs w:val="12"/>
                <w:color w:val="auto"/>
              </w:rPr>
              <w:t>(b)</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center"/>
              <w:ind w:left="570"/>
              <w:spacing w:after="0"/>
              <w:rPr>
                <w:sz w:val="20"/>
                <w:szCs w:val="20"/>
                <w:color w:val="auto"/>
              </w:rPr>
            </w:pPr>
            <w:r>
              <w:rPr>
                <w:rFonts w:ascii="Times New Roman" w:cs="Times New Roman" w:eastAsia="Times New Roman" w:hAnsi="Times New Roman"/>
                <w:sz w:val="18"/>
                <w:szCs w:val="18"/>
                <w:color w:val="auto"/>
                <w:w w:val="99"/>
              </w:rPr>
              <w:t>5,817.9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Wizards of the Coast and Digital Gaming</w:t>
            </w:r>
          </w:p>
        </w:tc>
        <w:tc>
          <w:tcPr>
            <w:tcW w:w="160" w:type="dxa"/>
            <w:vAlign w:val="bottom"/>
          </w:tcPr>
          <w:p>
            <w:pPr>
              <w:spacing w:after="0"/>
              <w:rPr>
                <w:sz w:val="19"/>
                <w:szCs w:val="19"/>
                <w:color w:val="auto"/>
              </w:rPr>
            </w:pPr>
          </w:p>
        </w:tc>
        <w:tc>
          <w:tcPr>
            <w:tcW w:w="136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2,646.6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38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Entertainment </w:t>
            </w:r>
            <w:r>
              <w:rPr>
                <w:rFonts w:ascii="Times New Roman" w:cs="Times New Roman" w:eastAsia="Times New Roman" w:hAnsi="Times New Roman"/>
                <w:sz w:val="23"/>
                <w:szCs w:val="23"/>
                <w:color w:val="auto"/>
                <w:vertAlign w:val="superscript"/>
              </w:rPr>
              <w:t>(a)</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center"/>
              <w:ind w:left="570"/>
              <w:spacing w:after="0"/>
              <w:rPr>
                <w:sz w:val="20"/>
                <w:szCs w:val="20"/>
                <w:color w:val="auto"/>
              </w:rPr>
            </w:pPr>
            <w:r>
              <w:rPr>
                <w:rFonts w:ascii="Times New Roman" w:cs="Times New Roman" w:eastAsia="Times New Roman" w:hAnsi="Times New Roman"/>
                <w:sz w:val="18"/>
                <w:szCs w:val="18"/>
                <w:color w:val="auto"/>
                <w:w w:val="99"/>
              </w:rPr>
              <w:t>6,158.5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6,052.8</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63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 xml:space="preserve">Corporate and Other </w:t>
            </w:r>
            <w:r>
              <w:rPr>
                <w:rFonts w:ascii="Times New Roman" w:cs="Times New Roman" w:eastAsia="Times New Roman" w:hAnsi="Times New Roman"/>
                <w:sz w:val="12"/>
                <w:szCs w:val="12"/>
                <w:color w:val="auto"/>
              </w:rPr>
              <w:t>(a)</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left="570"/>
              <w:spacing w:after="0"/>
              <w:rPr>
                <w:sz w:val="20"/>
                <w:szCs w:val="20"/>
                <w:color w:val="auto"/>
              </w:rPr>
            </w:pPr>
            <w:r>
              <w:rPr>
                <w:rFonts w:ascii="Times New Roman" w:cs="Times New Roman" w:eastAsia="Times New Roman" w:hAnsi="Times New Roman"/>
                <w:sz w:val="18"/>
                <w:szCs w:val="18"/>
                <w:color w:val="auto"/>
                <w:w w:val="99"/>
              </w:rPr>
              <w:t>(4,996.9)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(2,525.6)</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5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center"/>
              <w:ind w:left="570"/>
              <w:spacing w:after="0"/>
              <w:rPr>
                <w:sz w:val="20"/>
                <w:szCs w:val="20"/>
                <w:color w:val="auto"/>
              </w:rPr>
            </w:pPr>
            <w:r>
              <w:rPr>
                <w:rFonts w:ascii="Times New Roman" w:cs="Times New Roman" w:eastAsia="Times New Roman" w:hAnsi="Times New Roman"/>
                <w:sz w:val="18"/>
                <w:szCs w:val="18"/>
                <w:color w:val="auto"/>
                <w:w w:val="99"/>
              </w:rPr>
              <w:t>9,626.1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10,037.8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5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p>
      <w:pPr>
        <w:ind w:right="40" w:firstLine="8"/>
        <w:spacing w:after="0" w:line="267" w:lineRule="auto"/>
        <w:tabs>
          <w:tab w:leader="none" w:pos="204" w:val="left"/>
        </w:tabs>
        <w:numPr>
          <w:ilvl w:val="0"/>
          <w:numId w:val="2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Certain long-term assets, including property, plant and equipment, goodwill and other intangibles, which benefit multiple operating segments, are included in both Entertainment and Corporate and Other. Allocations of certain Corporate and Other expenses, related to these assets are made to the individual operating segments at the beginning of the year based on budgeted amounts. Any differences between actual and budgeted amounts are reflected in Corporate and Other because allocations are translated from the U.S. Dollar to local currency at budgeted rates when recorded. Beginning in 2022, the Company has allocated certain of the intangible amortization costs related to the assets acquired in the eOne Acquisition, between the Consumer Products and Entertainment segments. Corporate and Other also includes the elimination of inter-company balance sheet amounts.</w:t>
      </w:r>
    </w:p>
    <w:p>
      <w:pPr>
        <w:spacing w:after="0" w:line="157" w:lineRule="exact"/>
        <w:rPr>
          <w:rFonts w:ascii="Times New Roman" w:cs="Times New Roman" w:eastAsia="Times New Roman" w:hAnsi="Times New Roman"/>
          <w:sz w:val="14"/>
          <w:szCs w:val="14"/>
          <w:i w:val="1"/>
          <w:iCs w:val="1"/>
          <w:color w:val="auto"/>
        </w:rPr>
      </w:pPr>
    </w:p>
    <w:p>
      <w:pPr>
        <w:ind w:right="140" w:firstLine="8"/>
        <w:spacing w:after="0" w:line="285" w:lineRule="auto"/>
        <w:tabs>
          <w:tab w:leader="none" w:pos="204" w:val="left"/>
        </w:tabs>
        <w:numPr>
          <w:ilvl w:val="0"/>
          <w:numId w:val="2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During the second quarter of 2021, the Company adjusted certain inter-segment balance sheet amounts which impacted the Consumer Products and Corporate and Other total asset values. These adjustments did not impact the Company's total assets.</w:t>
      </w:r>
    </w:p>
    <w:p>
      <w:pPr>
        <w:spacing w:after="0" w:line="144" w:lineRule="exact"/>
        <w:rPr>
          <w:rFonts w:ascii="Times New Roman" w:cs="Times New Roman" w:eastAsia="Times New Roman" w:hAnsi="Times New Roman"/>
          <w:sz w:val="14"/>
          <w:szCs w:val="14"/>
          <w:i w:val="1"/>
          <w:iCs w:val="1"/>
          <w:color w:val="auto"/>
        </w:rPr>
      </w:pPr>
    </w:p>
    <w:p>
      <w:pPr>
        <w:ind w:left="200" w:hanging="192"/>
        <w:spacing w:after="0"/>
        <w:tabs>
          <w:tab w:leader="none" w:pos="200" w:val="left"/>
        </w:tabs>
        <w:numPr>
          <w:ilvl w:val="0"/>
          <w:numId w:val="2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Amounts represent revenues from transactions with other operating segments that are included in the operating profit (loss) of the segment.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consolidated Consumer Products segment net revenues by major geographic region for the quarters and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25, 2022 and September 26, 2021:</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80" w:type="dxa"/>
            <w:vAlign w:val="bottom"/>
            <w:gridSpan w:val="5"/>
          </w:tcPr>
          <w:p>
            <w:pPr>
              <w:ind w:left="82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160" w:type="dxa"/>
            <w:vAlign w:val="bottom"/>
          </w:tcPr>
          <w:p>
            <w:pPr>
              <w:spacing w:after="0"/>
              <w:rPr>
                <w:sz w:val="20"/>
                <w:szCs w:val="20"/>
                <w:color w:val="auto"/>
              </w:rPr>
            </w:pPr>
          </w:p>
        </w:tc>
        <w:tc>
          <w:tcPr>
            <w:tcW w:w="3020" w:type="dxa"/>
            <w:vAlign w:val="bottom"/>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69"/>
        </w:trPr>
        <w:tc>
          <w:tcPr>
            <w:tcW w:w="46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gridSpan w:val="2"/>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September 25,</w:t>
            </w:r>
          </w:p>
        </w:tc>
        <w:tc>
          <w:tcPr>
            <w:tcW w:w="1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110"/>
              <w:spacing w:after="0" w:line="169" w:lineRule="exact"/>
              <w:rPr>
                <w:sz w:val="20"/>
                <w:szCs w:val="20"/>
                <w:color w:val="auto"/>
              </w:rPr>
            </w:pPr>
            <w:r>
              <w:rPr>
                <w:rFonts w:ascii="Times New Roman" w:cs="Times New Roman" w:eastAsia="Times New Roman" w:hAnsi="Times New Roman"/>
                <w:sz w:val="18"/>
                <w:szCs w:val="18"/>
                <w:b w:val="1"/>
                <w:bCs w:val="1"/>
                <w:color w:val="auto"/>
              </w:rPr>
              <w:t>September 26,</w:t>
            </w:r>
          </w:p>
        </w:tc>
        <w:tc>
          <w:tcPr>
            <w:tcW w:w="3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gridSpan w:val="2"/>
          </w:tcPr>
          <w:p>
            <w:pPr>
              <w:ind w:left="60"/>
              <w:spacing w:after="0" w:line="169" w:lineRule="exact"/>
              <w:rPr>
                <w:sz w:val="20"/>
                <w:szCs w:val="20"/>
                <w:color w:val="auto"/>
              </w:rPr>
            </w:pPr>
            <w:r>
              <w:rPr>
                <w:rFonts w:ascii="Times New Roman" w:cs="Times New Roman" w:eastAsia="Times New Roman" w:hAnsi="Times New Roman"/>
                <w:sz w:val="18"/>
                <w:szCs w:val="18"/>
                <w:b w:val="1"/>
                <w:bCs w:val="1"/>
                <w:color w:val="auto"/>
              </w:rPr>
              <w:t>September 25,</w:t>
            </w:r>
          </w:p>
        </w:tc>
        <w:tc>
          <w:tcPr>
            <w:tcW w:w="16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jc w:val="right"/>
              <w:ind w:right="130"/>
              <w:spacing w:after="0" w:line="169" w:lineRule="exact"/>
              <w:rPr>
                <w:sz w:val="20"/>
                <w:szCs w:val="20"/>
                <w:color w:val="auto"/>
              </w:rPr>
            </w:pPr>
            <w:r>
              <w:rPr>
                <w:rFonts w:ascii="Times New Roman" w:cs="Times New Roman" w:eastAsia="Times New Roman" w:hAnsi="Times New Roman"/>
                <w:sz w:val="18"/>
                <w:szCs w:val="18"/>
                <w:b w:val="1"/>
                <w:bCs w:val="1"/>
                <w:color w:val="auto"/>
              </w:rPr>
              <w:t>September 26,</w:t>
            </w:r>
          </w:p>
        </w:tc>
      </w:tr>
      <w:tr>
        <w:trPr>
          <w:trHeight w:val="241"/>
        </w:trPr>
        <w:tc>
          <w:tcPr>
            <w:tcW w:w="46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5"/>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805.0</w:t>
            </w: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1,559.1</w:t>
            </w: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304.2</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669.2</w:t>
            </w: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w:t>
            </w:r>
          </w:p>
        </w:tc>
      </w:tr>
      <w:tr>
        <w:trPr>
          <w:trHeight w:val="230"/>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Latin America</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3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188.8</w:t>
            </w:r>
          </w:p>
        </w:tc>
      </w:tr>
      <w:tr>
        <w:trPr>
          <w:trHeight w:val="248"/>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1,282.7</w:t>
            </w:r>
          </w:p>
        </w:tc>
        <w:tc>
          <w:tcPr>
            <w:tcW w:w="3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2,625.8</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following table represents consolidated Wizards of the Coast and Digital Gaming segment net revenues by category for the quarters and nine months ended September 25, 2022 and September 26, 2021: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340" w:type="dxa"/>
            <w:vAlign w:val="bottom"/>
            <w:gridSpan w:val="5"/>
          </w:tcPr>
          <w:p>
            <w:pPr>
              <w:ind w:left="84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160" w:type="dxa"/>
            <w:vAlign w:val="bottom"/>
          </w:tcPr>
          <w:p>
            <w:pPr>
              <w:spacing w:after="0"/>
              <w:rPr>
                <w:sz w:val="20"/>
                <w:szCs w:val="20"/>
                <w:color w:val="auto"/>
              </w:rPr>
            </w:pPr>
          </w:p>
        </w:tc>
        <w:tc>
          <w:tcPr>
            <w:tcW w:w="3040" w:type="dxa"/>
            <w:vAlign w:val="bottom"/>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74"/>
        </w:trPr>
        <w:tc>
          <w:tcPr>
            <w:tcW w:w="45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gridSpan w:val="2"/>
          </w:tcPr>
          <w:p>
            <w:pPr>
              <w:ind w:left="60"/>
              <w:spacing w:after="0" w:line="174" w:lineRule="exact"/>
              <w:rPr>
                <w:sz w:val="20"/>
                <w:szCs w:val="20"/>
                <w:color w:val="auto"/>
              </w:rPr>
            </w:pPr>
            <w:r>
              <w:rPr>
                <w:rFonts w:ascii="Times New Roman" w:cs="Times New Roman" w:eastAsia="Times New Roman" w:hAnsi="Times New Roman"/>
                <w:sz w:val="18"/>
                <w:szCs w:val="18"/>
                <w:b w:val="1"/>
                <w:bCs w:val="1"/>
                <w:color w:val="auto"/>
              </w:rPr>
              <w:t>September 25,</w:t>
            </w:r>
          </w:p>
        </w:tc>
        <w:tc>
          <w:tcPr>
            <w:tcW w:w="16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ind w:right="130"/>
              <w:spacing w:after="0" w:line="174" w:lineRule="exact"/>
              <w:rPr>
                <w:sz w:val="20"/>
                <w:szCs w:val="20"/>
                <w:color w:val="auto"/>
              </w:rPr>
            </w:pPr>
            <w:r>
              <w:rPr>
                <w:rFonts w:ascii="Times New Roman" w:cs="Times New Roman" w:eastAsia="Times New Roman" w:hAnsi="Times New Roman"/>
                <w:sz w:val="18"/>
                <w:szCs w:val="18"/>
                <w:b w:val="1"/>
                <w:bCs w:val="1"/>
                <w:color w:val="auto"/>
              </w:rPr>
              <w:t>September 26,</w:t>
            </w:r>
          </w:p>
        </w:tc>
        <w:tc>
          <w:tcPr>
            <w:tcW w:w="3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gridSpan w:val="2"/>
          </w:tcPr>
          <w:p>
            <w:pPr>
              <w:ind w:left="60"/>
              <w:spacing w:after="0" w:line="174" w:lineRule="exact"/>
              <w:rPr>
                <w:sz w:val="20"/>
                <w:szCs w:val="20"/>
                <w:color w:val="auto"/>
              </w:rPr>
            </w:pPr>
            <w:r>
              <w:rPr>
                <w:rFonts w:ascii="Times New Roman" w:cs="Times New Roman" w:eastAsia="Times New Roman" w:hAnsi="Times New Roman"/>
                <w:sz w:val="18"/>
                <w:szCs w:val="18"/>
                <w:b w:val="1"/>
                <w:bCs w:val="1"/>
                <w:color w:val="auto"/>
              </w:rPr>
              <w:t>September 25,</w:t>
            </w:r>
          </w:p>
        </w:tc>
        <w:tc>
          <w:tcPr>
            <w:tcW w:w="16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jc w:val="right"/>
              <w:ind w:right="150"/>
              <w:spacing w:after="0" w:line="174" w:lineRule="exact"/>
              <w:rPr>
                <w:sz w:val="20"/>
                <w:szCs w:val="20"/>
                <w:color w:val="auto"/>
              </w:rPr>
            </w:pPr>
            <w:r>
              <w:rPr>
                <w:rFonts w:ascii="Times New Roman" w:cs="Times New Roman" w:eastAsia="Times New Roman" w:hAnsi="Times New Roman"/>
                <w:sz w:val="18"/>
                <w:szCs w:val="18"/>
                <w:b w:val="1"/>
                <w:bCs w:val="1"/>
                <w:color w:val="auto"/>
              </w:rPr>
              <w:t>September 26,</w:t>
            </w:r>
          </w:p>
        </w:tc>
      </w:tr>
      <w:tr>
        <w:trPr>
          <w:trHeight w:val="238"/>
        </w:trPr>
        <w:tc>
          <w:tcPr>
            <w:tcW w:w="45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Tabletop Gaming</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269.4</w:t>
            </w: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760.1</w:t>
            </w:r>
          </w:p>
        </w:tc>
      </w:tr>
      <w:tr>
        <w:trPr>
          <w:trHeight w:val="230"/>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Digital and Licensed Gaming</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3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248.6</w:t>
            </w:r>
          </w:p>
        </w:tc>
      </w:tr>
      <w:tr>
        <w:trPr>
          <w:trHeight w:val="248"/>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360.2</w:t>
            </w: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1,008.7</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966"/>
        </w:trPr>
        <w:tc>
          <w:tcPr>
            <w:tcW w:w="45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28" w:name="page29"/>
    <w:bookmarkEnd w:id="28"/>
    <w:p>
      <w:pPr>
        <w:ind w:left="350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(Millions of Dollars and Shares Except Per Share Data)</w:t>
      </w:r>
    </w:p>
    <w:p>
      <w:pPr>
        <w:spacing w:after="0" w:line="200" w:lineRule="exact"/>
        <w:rPr>
          <w:sz w:val="20"/>
          <w:szCs w:val="20"/>
          <w:color w:val="auto"/>
        </w:rPr>
      </w:pPr>
    </w:p>
    <w:p>
      <w:pPr>
        <w:spacing w:after="0" w:line="34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following table represents consolidated Entertainment segment net revenues by category for the quarters and nine months ended September 25, 2022 and September 26, 2021: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320" w:type="dxa"/>
            <w:vAlign w:val="bottom"/>
            <w:gridSpan w:val="5"/>
          </w:tcPr>
          <w:p>
            <w:pPr>
              <w:ind w:left="82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160" w:type="dxa"/>
            <w:vAlign w:val="bottom"/>
          </w:tcPr>
          <w:p>
            <w:pPr>
              <w:spacing w:after="0"/>
              <w:rPr>
                <w:sz w:val="20"/>
                <w:szCs w:val="20"/>
                <w:color w:val="auto"/>
              </w:rPr>
            </w:pPr>
          </w:p>
        </w:tc>
        <w:tc>
          <w:tcPr>
            <w:tcW w:w="3020" w:type="dxa"/>
            <w:vAlign w:val="bottom"/>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69"/>
        </w:trPr>
        <w:tc>
          <w:tcPr>
            <w:tcW w:w="45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gridSpan w:val="2"/>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September 25,</w:t>
            </w:r>
          </w:p>
        </w:tc>
        <w:tc>
          <w:tcPr>
            <w:tcW w:w="16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110"/>
              <w:spacing w:after="0" w:line="169" w:lineRule="exact"/>
              <w:rPr>
                <w:sz w:val="20"/>
                <w:szCs w:val="20"/>
                <w:color w:val="auto"/>
              </w:rPr>
            </w:pPr>
            <w:r>
              <w:rPr>
                <w:rFonts w:ascii="Times New Roman" w:cs="Times New Roman" w:eastAsia="Times New Roman" w:hAnsi="Times New Roman"/>
                <w:sz w:val="18"/>
                <w:szCs w:val="18"/>
                <w:b w:val="1"/>
                <w:bCs w:val="1"/>
                <w:color w:val="auto"/>
              </w:rPr>
              <w:t>September 26,</w:t>
            </w:r>
          </w:p>
        </w:tc>
        <w:tc>
          <w:tcPr>
            <w:tcW w:w="3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gridSpan w:val="2"/>
          </w:tcPr>
          <w:p>
            <w:pPr>
              <w:ind w:left="60"/>
              <w:spacing w:after="0" w:line="169" w:lineRule="exact"/>
              <w:rPr>
                <w:sz w:val="20"/>
                <w:szCs w:val="20"/>
                <w:color w:val="auto"/>
              </w:rPr>
            </w:pPr>
            <w:r>
              <w:rPr>
                <w:rFonts w:ascii="Times New Roman" w:cs="Times New Roman" w:eastAsia="Times New Roman" w:hAnsi="Times New Roman"/>
                <w:sz w:val="18"/>
                <w:szCs w:val="18"/>
                <w:b w:val="1"/>
                <w:bCs w:val="1"/>
                <w:color w:val="auto"/>
              </w:rPr>
              <w:t>September 25,</w:t>
            </w:r>
          </w:p>
        </w:tc>
        <w:tc>
          <w:tcPr>
            <w:tcW w:w="16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jc w:val="right"/>
              <w:ind w:right="130"/>
              <w:spacing w:after="0" w:line="169" w:lineRule="exact"/>
              <w:rPr>
                <w:sz w:val="20"/>
                <w:szCs w:val="20"/>
                <w:color w:val="auto"/>
              </w:rPr>
            </w:pPr>
            <w:r>
              <w:rPr>
                <w:rFonts w:ascii="Times New Roman" w:cs="Times New Roman" w:eastAsia="Times New Roman" w:hAnsi="Times New Roman"/>
                <w:sz w:val="18"/>
                <w:szCs w:val="18"/>
                <w:b w:val="1"/>
                <w:bCs w:val="1"/>
                <w:color w:val="auto"/>
              </w:rPr>
              <w:t>September 26,</w:t>
            </w:r>
          </w:p>
        </w:tc>
      </w:tr>
      <w:tr>
        <w:trPr>
          <w:trHeight w:val="241"/>
        </w:trPr>
        <w:tc>
          <w:tcPr>
            <w:tcW w:w="45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5"/>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Film and TV</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w:t>
            </w: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586.1</w:t>
            </w: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Family Brands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w:t>
            </w: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Music and Other</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3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r>
      <w:tr>
        <w:trPr>
          <w:trHeight w:val="223"/>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327.1</w:t>
            </w:r>
          </w:p>
        </w:tc>
        <w:tc>
          <w:tcPr>
            <w:tcW w:w="3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772.5</w:t>
            </w:r>
          </w:p>
        </w:tc>
      </w:tr>
      <w:tr>
        <w:trPr>
          <w:trHeight w:val="21"/>
        </w:trPr>
        <w:tc>
          <w:tcPr>
            <w:tcW w:w="4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table presents consolidated net revenues by brand and entertainment portfolio for the quarters and nine months ended September 25, 2022 and September 26, 2021: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300" w:type="dxa"/>
            <w:vAlign w:val="bottom"/>
            <w:gridSpan w:val="5"/>
          </w:tcPr>
          <w:p>
            <w:pPr>
              <w:ind w:left="82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160" w:type="dxa"/>
            <w:vAlign w:val="bottom"/>
          </w:tcPr>
          <w:p>
            <w:pPr>
              <w:spacing w:after="0"/>
              <w:rPr>
                <w:sz w:val="20"/>
                <w:szCs w:val="20"/>
                <w:color w:val="auto"/>
              </w:rPr>
            </w:pPr>
          </w:p>
        </w:tc>
        <w:tc>
          <w:tcPr>
            <w:tcW w:w="3020" w:type="dxa"/>
            <w:vAlign w:val="bottom"/>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69"/>
        </w:trPr>
        <w:tc>
          <w:tcPr>
            <w:tcW w:w="46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gridSpan w:val="2"/>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September 25,</w:t>
            </w:r>
          </w:p>
        </w:tc>
        <w:tc>
          <w:tcPr>
            <w:tcW w:w="1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110"/>
              <w:spacing w:after="0" w:line="169" w:lineRule="exact"/>
              <w:rPr>
                <w:sz w:val="20"/>
                <w:szCs w:val="20"/>
                <w:color w:val="auto"/>
              </w:rPr>
            </w:pPr>
            <w:r>
              <w:rPr>
                <w:rFonts w:ascii="Times New Roman" w:cs="Times New Roman" w:eastAsia="Times New Roman" w:hAnsi="Times New Roman"/>
                <w:sz w:val="18"/>
                <w:szCs w:val="18"/>
                <w:b w:val="1"/>
                <w:bCs w:val="1"/>
                <w:color w:val="auto"/>
              </w:rPr>
              <w:t>September 26,</w:t>
            </w:r>
          </w:p>
        </w:tc>
        <w:tc>
          <w:tcPr>
            <w:tcW w:w="3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gridSpan w:val="2"/>
          </w:tcPr>
          <w:p>
            <w:pPr>
              <w:ind w:left="60"/>
              <w:spacing w:after="0" w:line="169" w:lineRule="exact"/>
              <w:rPr>
                <w:sz w:val="20"/>
                <w:szCs w:val="20"/>
                <w:color w:val="auto"/>
              </w:rPr>
            </w:pPr>
            <w:r>
              <w:rPr>
                <w:rFonts w:ascii="Times New Roman" w:cs="Times New Roman" w:eastAsia="Times New Roman" w:hAnsi="Times New Roman"/>
                <w:sz w:val="18"/>
                <w:szCs w:val="18"/>
                <w:b w:val="1"/>
                <w:bCs w:val="1"/>
                <w:color w:val="auto"/>
              </w:rPr>
              <w:t>September 25,</w:t>
            </w:r>
          </w:p>
        </w:tc>
        <w:tc>
          <w:tcPr>
            <w:tcW w:w="16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jc w:val="right"/>
              <w:ind w:right="130"/>
              <w:spacing w:after="0" w:line="169" w:lineRule="exact"/>
              <w:rPr>
                <w:sz w:val="20"/>
                <w:szCs w:val="20"/>
                <w:color w:val="auto"/>
              </w:rPr>
            </w:pPr>
            <w:r>
              <w:rPr>
                <w:rFonts w:ascii="Times New Roman" w:cs="Times New Roman" w:eastAsia="Times New Roman" w:hAnsi="Times New Roman"/>
                <w:sz w:val="18"/>
                <w:szCs w:val="18"/>
                <w:b w:val="1"/>
                <w:bCs w:val="1"/>
                <w:color w:val="auto"/>
              </w:rPr>
              <w:t>September 26,</w:t>
            </w:r>
          </w:p>
        </w:tc>
      </w:tr>
      <w:tr>
        <w:trPr>
          <w:trHeight w:val="241"/>
        </w:trPr>
        <w:tc>
          <w:tcPr>
            <w:tcW w:w="46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5"/>
        </w:trPr>
        <w:tc>
          <w:tcPr>
            <w:tcW w:w="460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Franchise Brands </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925.1</w:t>
            </w: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2,125.4</w:t>
            </w:r>
          </w:p>
        </w:tc>
      </w:tr>
      <w:tr>
        <w:trPr>
          <w:trHeight w:val="229"/>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Partner Brands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366.7</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766.7</w:t>
            </w:r>
          </w:p>
        </w:tc>
      </w:tr>
      <w:tr>
        <w:trPr>
          <w:trHeight w:val="229"/>
        </w:trPr>
        <w:tc>
          <w:tcPr>
            <w:tcW w:w="46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Hasbro Gaming </w:t>
            </w:r>
            <w:r>
              <w:rPr>
                <w:rFonts w:ascii="Times New Roman" w:cs="Times New Roman" w:eastAsia="Times New Roman" w:hAnsi="Times New Roman"/>
                <w:sz w:val="23"/>
                <w:szCs w:val="23"/>
                <w:color w:val="auto"/>
                <w:vertAlign w:val="superscript"/>
              </w:rPr>
              <w:t>(2)</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281.9</w:t>
            </w: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565.3</w:t>
            </w:r>
          </w:p>
        </w:tc>
      </w:tr>
      <w:tr>
        <w:trPr>
          <w:trHeight w:val="230"/>
        </w:trPr>
        <w:tc>
          <w:tcPr>
            <w:tcW w:w="46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Emerging Brands </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297.2</w:t>
            </w:r>
          </w:p>
        </w:tc>
      </w:tr>
      <w:tr>
        <w:trPr>
          <w:trHeight w:val="22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TV/Film/Entertainment</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w:t>
            </w:r>
          </w:p>
        </w:tc>
        <w:tc>
          <w:tcPr>
            <w:tcW w:w="3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652.4</w:t>
            </w:r>
          </w:p>
        </w:tc>
      </w:tr>
      <w:tr>
        <w:trPr>
          <w:trHeight w:val="223"/>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1,675.9</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1,970.0</w:t>
            </w:r>
          </w:p>
        </w:tc>
        <w:tc>
          <w:tcPr>
            <w:tcW w:w="3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4,178.2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4,407.0</w:t>
            </w:r>
          </w:p>
        </w:tc>
      </w:tr>
      <w:tr>
        <w:trPr>
          <w:trHeight w:val="20"/>
        </w:trPr>
        <w:tc>
          <w:tcPr>
            <w:tcW w:w="4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ind w:right="200" w:firstLine="8"/>
        <w:spacing w:after="0" w:line="560" w:lineRule="auto"/>
        <w:tabs>
          <w:tab w:leader="none" w:pos="132" w:val="left"/>
        </w:tabs>
        <w:numPr>
          <w:ilvl w:val="0"/>
          <w:numId w:val="23"/>
        </w:numPr>
        <w:rPr>
          <w:rFonts w:ascii="Times New Roman" w:cs="Times New Roman" w:eastAsia="Times New Roman" w:hAnsi="Times New Roman"/>
          <w:sz w:val="15"/>
          <w:szCs w:val="15"/>
          <w:i w:val="1"/>
          <w:iCs w:val="1"/>
          <w:color w:val="auto"/>
          <w:vertAlign w:val="superscript"/>
        </w:rPr>
      </w:pPr>
      <w:r>
        <w:rPr>
          <w:rFonts w:ascii="Times New Roman" w:cs="Times New Roman" w:eastAsia="Times New Roman" w:hAnsi="Times New Roman"/>
          <w:sz w:val="11"/>
          <w:szCs w:val="11"/>
          <w:i w:val="1"/>
          <w:iCs w:val="1"/>
          <w:color w:val="auto"/>
        </w:rPr>
        <w:t>Effective in the first quarter of 2022, the Company moved PEPPA PIG into Franchise Brands from Emerging Brands. For comparability, net revenues for the quarter and nine months ended September 26, 2021 have been restated to reflect the elevation of PEPPA PIG from Emerging Brands to Franchise Brands, which amounted to a change of $43.1 million and $102.0 million, respectively.</w:t>
      </w:r>
    </w:p>
    <w:p>
      <w:pPr>
        <w:spacing w:after="0" w:line="4" w:lineRule="exact"/>
        <w:rPr>
          <w:rFonts w:ascii="Times New Roman" w:cs="Times New Roman" w:eastAsia="Times New Roman" w:hAnsi="Times New Roman"/>
          <w:sz w:val="15"/>
          <w:szCs w:val="15"/>
          <w:i w:val="1"/>
          <w:iCs w:val="1"/>
          <w:color w:val="auto"/>
          <w:vertAlign w:val="superscript"/>
        </w:rPr>
      </w:pPr>
    </w:p>
    <w:p>
      <w:pPr>
        <w:jc w:val="both"/>
        <w:ind w:right="140" w:firstLine="8"/>
        <w:spacing w:after="0" w:line="263" w:lineRule="auto"/>
        <w:tabs>
          <w:tab w:leader="none" w:pos="145" w:val="left"/>
        </w:tabs>
        <w:numPr>
          <w:ilvl w:val="0"/>
          <w:numId w:val="23"/>
        </w:numPr>
        <w:rPr>
          <w:rFonts w:ascii="Times New Roman" w:cs="Times New Roman" w:eastAsia="Times New Roman" w:hAnsi="Times New Roman"/>
          <w:sz w:val="17"/>
          <w:szCs w:val="17"/>
          <w:i w:val="1"/>
          <w:iCs w:val="1"/>
          <w:color w:val="auto"/>
          <w:vertAlign w:val="superscript"/>
        </w:rPr>
      </w:pPr>
      <w:r>
        <w:rPr>
          <w:rFonts w:ascii="Times New Roman" w:cs="Times New Roman" w:eastAsia="Times New Roman" w:hAnsi="Times New Roman"/>
          <w:sz w:val="13"/>
          <w:szCs w:val="13"/>
          <w:i w:val="1"/>
          <w:iCs w:val="1"/>
          <w:color w:val="auto"/>
        </w:rPr>
        <w:t>Hasbro's total gaming category, which includes all gaming net revenues, both those reported in Hasbro Gaming and those reported elsewhere, most notably MAGIC: THE GATHERING and MONOPOLY which are reported within Franchise Brands, totaled $508.6 million and $1,415.7 million for the quarter and nine months ended September 25, 2022, respectively. For the quarter and nine months ended September 26, 2021, total gaming revenues were $658.6 million and $1,543.3 million, respectively.</w:t>
      </w:r>
    </w:p>
    <w:p>
      <w:pPr>
        <w:spacing w:after="0" w:line="149" w:lineRule="exact"/>
        <w:rPr>
          <w:sz w:val="20"/>
          <w:szCs w:val="20"/>
          <w:color w:val="auto"/>
        </w:rPr>
      </w:pPr>
    </w:p>
    <w:p>
      <w:pPr>
        <w:ind w:left="360" w:hanging="352"/>
        <w:spacing w:after="0"/>
        <w:tabs>
          <w:tab w:leader="none" w:pos="3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Restructuring Actions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third quarter of 2022, the Company took certain restructuring actions related to the Company's strategic review which resulted in severance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employee charges of $21.3 million recorded in Selling, Distribution and Administration within the Corporate and Other segment and a loss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$26.7 million of non-cash charges related to the sale or disposal of non-strategic businesses, recorded as assets held for sale of $23.1 million and program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amortization of $3.7 million recorded within the Entertainment segment. These businesses do not constitute a material part of the Company's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See Note 1 for additional information related to these charges.</w:t>
      </w:r>
    </w:p>
    <w:p>
      <w:pPr>
        <w:spacing w:after="0" w:line="16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During 2018 and 2020, the Company took certain restructuring actions including headcount reduction aimed at right-sizing the Company’s cost-structure and integration actions related to the acquisition of eOne.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25, 2022, the Company had a remaining balance of $26.8 million in termination payments related to these restructuring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29" w:name="page30"/>
    <w:bookmarkEnd w:id="29"/>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tab/>
        <w:t>Management's Discussion and Analysis of Financial Condition and Results of Operations.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OBJECTIVE</w:t>
      </w:r>
    </w:p>
    <w:p>
      <w:pPr>
        <w:spacing w:after="0" w:line="117"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Our objective within the following discussion is to provide an analysis of the Company’s Results of Operations, Financial Condition, and Cash Flows from management's perspective, which should be read in conjunction with the Company’s consolidated financial statements and notes thereto, included in Part I, Item 1 of this Form 10-Q.</w:t>
      </w:r>
    </w:p>
    <w:p>
      <w:pPr>
        <w:spacing w:after="0" w:line="6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Unless otherwise specifically indicated, all dollar or share amounts within tables herein are expressed in millions of dollars or shares, except for per share amounts.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EXECUTIVE SUMMARY</w:t>
      </w:r>
    </w:p>
    <w:p>
      <w:pPr>
        <w:spacing w:after="0" w:line="12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Hasbro, Inc. (“Hasbro”) is a global branded entertainment leader whose mission is to entertain and connect generations of fans through the wonder of storytelling and exhilaration of play. We deliver engaging brand experiences for global audiences through gaming, consumer products and entertainment, with a portfolio of iconic brands including MAGIC: THE GATHERING, DUNGEONS &amp; DRAGONS, Hasbro Gaming, NERF, TRANSFORMERS, PLAY-DOH and PEPPA PIG, as well as premier partner brands.</w:t>
      </w:r>
    </w:p>
    <w:p>
      <w:pPr>
        <w:spacing w:after="0" w:line="72" w:lineRule="exact"/>
        <w:rPr>
          <w:sz w:val="20"/>
          <w:szCs w:val="20"/>
          <w:color w:val="auto"/>
        </w:rPr>
      </w:pPr>
    </w:p>
    <w:p>
      <w:pPr>
        <w:ind w:right="120"/>
        <w:spacing w:after="0" w:line="289" w:lineRule="auto"/>
        <w:rPr>
          <w:sz w:val="20"/>
          <w:szCs w:val="20"/>
          <w:color w:val="auto"/>
        </w:rPr>
      </w:pPr>
      <w:r>
        <w:rPr>
          <w:rFonts w:ascii="Times New Roman" w:cs="Times New Roman" w:eastAsia="Times New Roman" w:hAnsi="Times New Roman"/>
          <w:sz w:val="17"/>
          <w:szCs w:val="17"/>
          <w:color w:val="auto"/>
        </w:rPr>
        <w:t>Hasbro is guided by its purpose to create joy and community for all people around the world, one game, one toy, one story at a time. For more than a decade, we have been consistently recognized for our corporate citizenship, including being named one of the 100 Best Corporate Citizens by 3BL Media, one of the World’s Most Ethical Companies by Ethisphere Institute and one of the 50 Most Community-Minded Companies in the U.S. by the Civic 50.</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Blueprint 2.0 and Operational Excellence</w:t>
      </w:r>
    </w:p>
    <w:p>
      <w:pPr>
        <w:spacing w:after="0" w:line="11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 October 4, 2022, following a nine-month strategic review of our business, we announced a new go-forward strategic plan guided by our new Blueprint 2.0, a framework for bringing compelling and expansive brand experiences to consumers and audiences around the world. This consumer-centric approach focuses on fewer, bigger brands, expanded licensing, Hasbro branded entertainment, and driving high-margin growth in games, digital and direct to consumer.</w:t>
      </w:r>
    </w:p>
    <w:p>
      <w:pPr>
        <w:spacing w:after="0" w:line="7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our review, we identified opportunities to focus and scale our business, enhance operational excellence, including through organizational and supply chain programs, and drive growth and profit. We plan to focus investment on our most valuable and profitable franchises across toys, games, entertainment and licensing, and to exit certain non-core aspects of the business. Under this plan, we plan to deliver annual run-rate cost savings of $250 million to $300 million by the end of 2025. To achieve these savings, we expect to incur approximately $200 million in cash charges through 2024, with approximately $20 million paid in 2022, $120 million paid in 2023, and the balance of $60 million paid in 2024. A pre-tax charge of $55.3 million was recorded in the third quarter of 2022 associated with the program, primarily from a loss on assets held for sale as well as severance and other employee charges.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Coronavirus Pandemic</w:t>
      </w:r>
    </w:p>
    <w:p>
      <w:pPr>
        <w:spacing w:after="0" w:line="1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Since the onset of the novel coronavirus (COVID-19) pandemic in early 2020, our business has been adversely impacted by the challenges and risks associated with both the initial, and the continuing effects of the spread of the virus worldwide. Certain effects of the COVID-19 pandemic, including difficulties in shipping and distributing products due to ongoing constraints in port capacity, shipping containers and truck transportation, have continued into 2022. These and other disruptions led to higher costs for both ocean and air freight and delays in the availability of products, which can result in delayed sales and, in some cases, lost sales. In response to these and other challenges, we have developed and continue to evaluate and execute plans to mitigate the negative impacts of COVID-19 to our business, which we believe will help manage the adverse impacts to our financial results for fiscal year 2022. For example, the Company implemented certain price increases during the first nine months of 2022 and in 2021, to mitigate product input and freight cost increases. Additionally, during the first half of 2022, the Company accelerated certain inventory purchases to ensure sufficient finished goods and raw material availability, ahead of expected periods of high consumer demand due to supply chain constraints, driving higher inventory balances within certain markets as compared to prior year. The Company plans to launch incremental year-over-year advertising and promotional activity behind key holiday toy and game items to drive our newest innovation while reducing inventory on hand at Hasbro and at retail.</w:t>
      </w:r>
    </w:p>
    <w:p>
      <w:pPr>
        <w:spacing w:after="0" w:line="84"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effect of COVID-19 on our business continues to be fluid and it is difficult to forecast the impact it could have on our future operations. However, since the initial outbreak, we have maintained sufficient liquidity and access to capital resources and we continue to closely monitor customer health and collectability of receivables. Please see Part I, Item 1A. Risk Factors and Part I, Item 1. Business, in the Company's Form 10-K for the fiscal year ended December 26, 2021 for further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532765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i w:val="1"/>
          <w:iCs w:val="1"/>
          <w:u w:val="single" w:color="auto"/>
          <w:color w:val="auto"/>
        </w:rPr>
        <w:t>D&amp;D Beyond Acquisition</w:t>
      </w:r>
    </w:p>
    <w:p>
      <w:pPr>
        <w:spacing w:after="0" w:line="119" w:lineRule="exact"/>
        <w:rPr>
          <w:sz w:val="20"/>
          <w:szCs w:val="20"/>
          <w:color w:val="auto"/>
        </w:rPr>
      </w:pPr>
    </w:p>
    <w:p>
      <w:pPr>
        <w:ind w:right="200"/>
        <w:spacing w:after="0" w:line="276" w:lineRule="auto"/>
        <w:rPr>
          <w:sz w:val="20"/>
          <w:szCs w:val="20"/>
          <w:color w:val="auto"/>
        </w:rPr>
      </w:pPr>
      <w:r>
        <w:rPr>
          <w:rFonts w:ascii="Times New Roman" w:cs="Times New Roman" w:eastAsia="Times New Roman" w:hAnsi="Times New Roman"/>
          <w:sz w:val="17"/>
          <w:szCs w:val="17"/>
          <w:color w:val="auto"/>
        </w:rPr>
        <w:t>During the second quarter of 2022, the Company completed the strategic, complementary acquisition of D&amp;D Beyond (the "D&amp;D Beyond Acquisition"), the premier digital content platform for DUNGEONS &amp; DRAGONS, in an all-cash transaction for a purchase price of $146.3 million. The D&amp;D Beyond</w:t>
      </w:r>
    </w:p>
    <w:p>
      <w:pPr>
        <w:spacing w:after="0" w:line="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Acquisition is expected to substantially accelerate direct-to-fans capability for DUNGEONS &amp; DRAGONS in physical and digital play</w:t>
      </w:r>
      <w:r>
        <w:rPr>
          <w:rFonts w:ascii="Arial" w:cs="Arial" w:eastAsia="Arial" w:hAnsi="Arial"/>
          <w:sz w:val="21"/>
          <w:szCs w:val="21"/>
          <w:color w:val="auto"/>
        </w:rPr>
        <w:t>.</w:t>
      </w:r>
      <w:r>
        <w:rPr>
          <w:rFonts w:ascii="Times New Roman" w:cs="Times New Roman" w:eastAsia="Times New Roman" w:hAnsi="Times New Roman"/>
          <w:sz w:val="18"/>
          <w:szCs w:val="18"/>
          <w:color w:val="auto"/>
        </w:rPr>
        <w:t xml:space="preserve"> See note 1 to the consolidated financial statements included in Part I of this Form 10-Q for further discussion.</w:t>
      </w:r>
    </w:p>
    <w:p>
      <w:pPr>
        <w:spacing w:after="0" w:line="200" w:lineRule="exact"/>
        <w:rPr>
          <w:sz w:val="20"/>
          <w:szCs w:val="20"/>
          <w:color w:val="auto"/>
        </w:rPr>
      </w:pPr>
    </w:p>
    <w:p>
      <w:pPr>
        <w:spacing w:after="0" w:line="21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During each of the periods presented in this Form 10-Q there were certain charges incurred which impacted operating results. These charges are detailed below in the Results of Operations - Consolidated.</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Third quarter 2022 highlights:</w:t>
      </w:r>
    </w:p>
    <w:p>
      <w:pPr>
        <w:spacing w:after="0" w:line="119" w:lineRule="exact"/>
        <w:rPr>
          <w:sz w:val="20"/>
          <w:szCs w:val="20"/>
          <w:color w:val="auto"/>
        </w:rPr>
      </w:pPr>
    </w:p>
    <w:p>
      <w:pPr>
        <w:ind w:left="500" w:right="580" w:hanging="492"/>
        <w:spacing w:after="0" w:line="312" w:lineRule="auto"/>
        <w:tabs>
          <w:tab w:leader="none" w:pos="495"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Third quarter net revenues of $1.7 billion decreased 15% compared to the third quarter of 2021 and included an unfavorable foreign currency translation of $53.7 million. Absent the unfavorable impact of foreign currency exchange, third quarter net revenues decreased 12%.</w:t>
      </w:r>
    </w:p>
    <w:p>
      <w:pPr>
        <w:spacing w:after="0" w:line="31" w:lineRule="exact"/>
        <w:rPr>
          <w:rFonts w:ascii="Times New Roman" w:cs="Times New Roman" w:eastAsia="Times New Roman" w:hAnsi="Times New Roman"/>
          <w:sz w:val="17"/>
          <w:szCs w:val="17"/>
          <w:color w:val="auto"/>
        </w:rPr>
      </w:pPr>
    </w:p>
    <w:p>
      <w:pPr>
        <w:ind w:left="1300" w:right="500" w:hanging="482"/>
        <w:spacing w:after="0" w:line="282" w:lineRule="auto"/>
        <w:tabs>
          <w:tab w:leader="none" w:pos="129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Products segment net revenues declined 10% to $1,160.8 million. Wizards of the Coast and Digital Gaming segment net revenues declined 16% to $303.5 million; and Entertainment segment net revenues declined 35% to $211.6 million.</w:t>
      </w:r>
    </w:p>
    <w:p>
      <w:pPr>
        <w:spacing w:after="0" w:line="53" w:lineRule="exact"/>
        <w:rPr>
          <w:rFonts w:ascii="Times New Roman" w:cs="Times New Roman" w:eastAsia="Times New Roman" w:hAnsi="Times New Roman"/>
          <w:sz w:val="18"/>
          <w:szCs w:val="18"/>
          <w:color w:val="auto"/>
        </w:rPr>
      </w:pPr>
    </w:p>
    <w:p>
      <w:pPr>
        <w:ind w:left="1300" w:right="80" w:hanging="482"/>
        <w:spacing w:after="0" w:line="282" w:lineRule="auto"/>
        <w:tabs>
          <w:tab w:leader="none" w:pos="129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from Franchise Brands decreased 12%; Partner Brands net revenues decreased 5%; Hasbro Gaming net revenues decreased 25%; Emerging Brands net revenues decreased 8%; and TV/Film/Entertainment portfolio net revenues decreased 32%.</w:t>
      </w:r>
    </w:p>
    <w:p>
      <w:pPr>
        <w:spacing w:after="0" w:line="53" w:lineRule="exact"/>
        <w:rPr>
          <w:rFonts w:ascii="Times New Roman" w:cs="Times New Roman" w:eastAsia="Times New Roman" w:hAnsi="Times New Roman"/>
          <w:sz w:val="18"/>
          <w:szCs w:val="18"/>
          <w:color w:val="auto"/>
        </w:rPr>
      </w:pPr>
    </w:p>
    <w:p>
      <w:pPr>
        <w:ind w:left="500" w:right="140" w:hanging="492"/>
        <w:spacing w:after="0" w:line="282" w:lineRule="auto"/>
        <w:tabs>
          <w:tab w:leader="none" w:pos="4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profit was $194.3 million, or 11.6% of net revenue, in the third quarter of 2022 compared to operating profit of $367.9 million, or 18.7% of net revenue, in the third quarter of 2021.</w:t>
      </w:r>
    </w:p>
    <w:p>
      <w:pPr>
        <w:spacing w:after="0" w:line="53" w:lineRule="exact"/>
        <w:rPr>
          <w:rFonts w:ascii="Times New Roman" w:cs="Times New Roman" w:eastAsia="Times New Roman" w:hAnsi="Times New Roman"/>
          <w:sz w:val="18"/>
          <w:szCs w:val="18"/>
          <w:color w:val="auto"/>
        </w:rPr>
      </w:pPr>
    </w:p>
    <w:p>
      <w:pPr>
        <w:ind w:left="1300" w:right="80" w:hanging="482"/>
        <w:spacing w:after="0" w:line="266" w:lineRule="auto"/>
        <w:tabs>
          <w:tab w:leader="none" w:pos="129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Profit in the Consumer Products segment decreased 35% to $136.8 million; Wizards of the Coast and Digital Gaming segment operating profit decreased 36% to $102.2 million; Entertainment segment operating results decreased greater than 100% to an operating loss of $28.9 million; and Corporate and Other operating losses improved by 35% to an operating loss of $15.8 million.</w:t>
      </w:r>
    </w:p>
    <w:p>
      <w:pPr>
        <w:spacing w:after="0" w:line="67" w:lineRule="exact"/>
        <w:rPr>
          <w:rFonts w:ascii="Times New Roman" w:cs="Times New Roman" w:eastAsia="Times New Roman" w:hAnsi="Times New Roman"/>
          <w:sz w:val="18"/>
          <w:szCs w:val="18"/>
          <w:color w:val="auto"/>
        </w:rPr>
      </w:pPr>
    </w:p>
    <w:p>
      <w:pPr>
        <w:ind w:left="1300" w:hanging="482"/>
        <w:spacing w:after="0" w:line="258" w:lineRule="auto"/>
        <w:tabs>
          <w:tab w:leader="none" w:pos="129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profit in the third quarter of 2022 was negatively impacted by charges totaling $55.3 million ($49.4 million after-tax) related to the Company's operational excellence program comprised of charges related to the exit of certain non-core businesses and discontinued projects within the Entertainment segment combined with severance and other employee charges and consultant fees within the Corporate and Other segment. These charges resulted from the Company's nine-month strategic review. See Results of Operations - Consolidated below for details of these charges.</w:t>
      </w:r>
    </w:p>
    <w:p>
      <w:pPr>
        <w:spacing w:after="0" w:line="75" w:lineRule="exact"/>
        <w:rPr>
          <w:rFonts w:ascii="Times New Roman" w:cs="Times New Roman" w:eastAsia="Times New Roman" w:hAnsi="Times New Roman"/>
          <w:sz w:val="18"/>
          <w:szCs w:val="18"/>
          <w:color w:val="auto"/>
        </w:rPr>
      </w:pPr>
    </w:p>
    <w:p>
      <w:pPr>
        <w:ind w:left="1300" w:right="460" w:hanging="482"/>
        <w:spacing w:after="0" w:line="282" w:lineRule="auto"/>
        <w:tabs>
          <w:tab w:leader="none" w:pos="129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other charges impacted operating segment performance for the third quarter of 2022 and 2021, in the Company’s Consumer Products, Entertainment and Corporate and Other segments, which are discussed further below in Segment Results.</w:t>
      </w:r>
    </w:p>
    <w:p>
      <w:pPr>
        <w:spacing w:after="0" w:line="53" w:lineRule="exact"/>
        <w:rPr>
          <w:rFonts w:ascii="Times New Roman" w:cs="Times New Roman" w:eastAsia="Times New Roman" w:hAnsi="Times New Roman"/>
          <w:sz w:val="18"/>
          <w:szCs w:val="18"/>
          <w:color w:val="auto"/>
        </w:rPr>
      </w:pPr>
    </w:p>
    <w:p>
      <w:pPr>
        <w:ind w:left="500" w:right="540" w:hanging="492"/>
        <w:spacing w:after="0" w:line="282" w:lineRule="auto"/>
        <w:tabs>
          <w:tab w:leader="none" w:pos="4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earnings attributable to Hasbro, Inc. of $129.2 million, or $0.93 per diluted share, in the third quarter of 2022 compared to net earnings of $253.2 million, or $1.83 per diluted share, in the third quarter of 2021.</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First nine months 2022 highlights:</w:t>
      </w:r>
    </w:p>
    <w:p>
      <w:pPr>
        <w:spacing w:after="0" w:line="119" w:lineRule="exact"/>
        <w:rPr>
          <w:sz w:val="20"/>
          <w:szCs w:val="20"/>
          <w:color w:val="auto"/>
        </w:rPr>
      </w:pPr>
    </w:p>
    <w:p>
      <w:pPr>
        <w:ind w:left="500" w:right="220" w:hanging="492"/>
        <w:spacing w:after="0" w:line="266" w:lineRule="auto"/>
        <w:tabs>
          <w:tab w:leader="none" w:pos="4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decreased 5% to $4,178.2 million in first nine months of 2022 compared to $4,407.0 million in the first nine months of 2021. The decrease in net revenues included $103.8 million of unfavorable foreign currency translation. Absent the impact of foreign currency exchange, net revenues decreased 3%.</w:t>
      </w:r>
    </w:p>
    <w:p>
      <w:pPr>
        <w:spacing w:after="0" w:line="67" w:lineRule="exact"/>
        <w:rPr>
          <w:rFonts w:ascii="Times New Roman" w:cs="Times New Roman" w:eastAsia="Times New Roman" w:hAnsi="Times New Roman"/>
          <w:sz w:val="18"/>
          <w:szCs w:val="18"/>
          <w:color w:val="auto"/>
        </w:rPr>
      </w:pPr>
    </w:p>
    <w:p>
      <w:pPr>
        <w:ind w:left="1300" w:right="260" w:hanging="482"/>
        <w:spacing w:after="0" w:line="282" w:lineRule="auto"/>
        <w:tabs>
          <w:tab w:leader="none" w:pos="1295"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in the Consumer Products segment decreased 2% to $2,567.8 million; Wizards of the Coast and Digital Gaming segment net revenues decreased 2% to $986.1 million; and Entertainment segment net revenues decreased 19% to $624.3 million.</w:t>
      </w:r>
    </w:p>
    <w:p>
      <w:pPr>
        <w:spacing w:after="0" w:line="53" w:lineRule="exact"/>
        <w:rPr>
          <w:rFonts w:ascii="Times New Roman" w:cs="Times New Roman" w:eastAsia="Times New Roman" w:hAnsi="Times New Roman"/>
          <w:sz w:val="18"/>
          <w:szCs w:val="18"/>
          <w:color w:val="auto"/>
        </w:rPr>
      </w:pPr>
    </w:p>
    <w:p>
      <w:pPr>
        <w:ind w:left="1300" w:right="200" w:hanging="482"/>
        <w:spacing w:after="0" w:line="266" w:lineRule="auto"/>
        <w:tabs>
          <w:tab w:leader="none" w:pos="1295"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from Franchise Brands decreased 1%; Partner Brands net revenues increased 1%; Hasbro Gaming net revenues decreased 15%; Emerging brands net revenues decreased 2%; and TV/Film/Entertainment portfolio net revenues decreased 19% during the first nine months of 2022.</w:t>
      </w:r>
    </w:p>
    <w:p>
      <w:pPr>
        <w:spacing w:after="0" w:line="67" w:lineRule="exact"/>
        <w:rPr>
          <w:rFonts w:ascii="Times New Roman" w:cs="Times New Roman" w:eastAsia="Times New Roman" w:hAnsi="Times New Roman"/>
          <w:sz w:val="18"/>
          <w:szCs w:val="18"/>
          <w:color w:val="auto"/>
        </w:rPr>
      </w:pPr>
    </w:p>
    <w:p>
      <w:pPr>
        <w:ind w:left="500" w:right="260" w:hanging="492"/>
        <w:spacing w:after="0" w:line="282" w:lineRule="auto"/>
        <w:tabs>
          <w:tab w:leader="none" w:pos="4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profit was $533.4 million, or 12.8% of net revenues, in the first nine months of 2022 compared to operating profit of $591.8 million, or 13.4% of net revenues, in the first nine months of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555625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7" w:right="339" w:bottom="1440" w:gutter="0" w:footer="0" w:header="0"/>
        </w:sectPr>
      </w:pPr>
    </w:p>
    <w:bookmarkStart w:id="31" w:name="page32"/>
    <w:bookmarkEnd w:id="31"/>
    <w:p>
      <w:pPr>
        <w:ind w:left="1300" w:right="80" w:hanging="482"/>
        <w:spacing w:after="0" w:line="266" w:lineRule="auto"/>
        <w:tabs>
          <w:tab w:leader="none" w:pos="129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profit in the Consumer Products segment decreased 47% to $138.9 million; Wizards of the Coast and Digital Gaming segment operating profit decreased 6% to $434.2 million; Entertainment segment operating results improved 97% to an operating loss of $2.4 million; and Corporate and Other operating losses improved by 34% to an operating loss of $37.3 million.</w:t>
      </w:r>
    </w:p>
    <w:p>
      <w:pPr>
        <w:spacing w:after="0" w:line="67" w:lineRule="exact"/>
        <w:rPr>
          <w:rFonts w:ascii="Times New Roman" w:cs="Times New Roman" w:eastAsia="Times New Roman" w:hAnsi="Times New Roman"/>
          <w:sz w:val="18"/>
          <w:szCs w:val="18"/>
          <w:color w:val="auto"/>
        </w:rPr>
      </w:pPr>
    </w:p>
    <w:p>
      <w:pPr>
        <w:ind w:left="1300" w:right="60" w:hanging="482"/>
        <w:spacing w:after="0" w:line="266" w:lineRule="auto"/>
        <w:tabs>
          <w:tab w:leader="none" w:pos="129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profit in the first nine months of 2022 was negatively impacted by charges totaling $55.3 million ($49.4 million after-tax) related to the Company’s operational excellence program comprised of charges related to the exit of certain non-core businesses and discontinued projects within the Entertainment segment combined with severance and other employee charges and consultant fees within</w:t>
      </w:r>
    </w:p>
    <w:p>
      <w:pPr>
        <w:ind w:left="1300" w:right="2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Corporate and Other segment. These charges resulted from the Company's nine-month strategic review. See Results of Operations - Consolidated below for details of these charges.</w:t>
      </w:r>
    </w:p>
    <w:p>
      <w:pPr>
        <w:spacing w:after="0" w:line="53" w:lineRule="exact"/>
        <w:rPr>
          <w:rFonts w:ascii="Times New Roman" w:cs="Times New Roman" w:eastAsia="Times New Roman" w:hAnsi="Times New Roman"/>
          <w:sz w:val="18"/>
          <w:szCs w:val="18"/>
          <w:color w:val="auto"/>
        </w:rPr>
      </w:pPr>
    </w:p>
    <w:p>
      <w:pPr>
        <w:ind w:left="1300" w:right="40" w:hanging="482"/>
        <w:spacing w:after="0" w:line="282" w:lineRule="auto"/>
        <w:tabs>
          <w:tab w:leader="none" w:pos="129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profit in the first nine months of 2021 was negatively impacted by a pre-tax non-cash impairment charge of $101.8 million and pre-tax cash transaction expenses of $9.5 million ($7.3 million after-tax) associated with the sale of eOne Music.</w:t>
      </w:r>
    </w:p>
    <w:p>
      <w:pPr>
        <w:spacing w:after="0" w:line="53" w:lineRule="exact"/>
        <w:rPr>
          <w:rFonts w:ascii="Times New Roman" w:cs="Times New Roman" w:eastAsia="Times New Roman" w:hAnsi="Times New Roman"/>
          <w:sz w:val="18"/>
          <w:szCs w:val="18"/>
          <w:color w:val="auto"/>
        </w:rPr>
      </w:pPr>
    </w:p>
    <w:p>
      <w:pPr>
        <w:ind w:left="1300" w:right="140" w:hanging="482"/>
        <w:spacing w:after="0" w:line="281" w:lineRule="auto"/>
        <w:tabs>
          <w:tab w:leader="none" w:pos="1295" w:val="left"/>
        </w:tabs>
        <w:numPr>
          <w:ilvl w:val="1"/>
          <w:numId w:val="27"/>
        </w:numPr>
        <w:rPr>
          <w:rFonts w:ascii="Arial" w:cs="Arial" w:eastAsia="Arial" w:hAnsi="Arial"/>
          <w:sz w:val="18"/>
          <w:szCs w:val="18"/>
          <w:color w:val="auto"/>
        </w:rPr>
      </w:pPr>
      <w:r>
        <w:rPr>
          <w:rFonts w:ascii="Times New Roman" w:cs="Times New Roman" w:eastAsia="Times New Roman" w:hAnsi="Times New Roman"/>
          <w:sz w:val="18"/>
          <w:szCs w:val="18"/>
          <w:color w:val="auto"/>
        </w:rPr>
        <w:t>Certain other charges impacted operating segment performance for the first nine months of 2022 and 2021, in the Company’s Consumer Products, Entertainment and Corporate and Other segments, which are discussed further below in Segment Results.</w:t>
      </w:r>
    </w:p>
    <w:p>
      <w:pPr>
        <w:spacing w:after="0" w:line="54" w:lineRule="exact"/>
        <w:rPr>
          <w:rFonts w:ascii="Arial" w:cs="Arial" w:eastAsia="Arial" w:hAnsi="Arial"/>
          <w:sz w:val="18"/>
          <w:szCs w:val="18"/>
          <w:color w:val="auto"/>
        </w:rPr>
      </w:pPr>
    </w:p>
    <w:p>
      <w:pPr>
        <w:ind w:left="500" w:right="20" w:hanging="492"/>
        <w:spacing w:after="0" w:line="266" w:lineRule="auto"/>
        <w:tabs>
          <w:tab w:leader="none" w:pos="4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earnings attributable to Hasbro, Inc. was $332.4 million, or $2.39 per diluted share, in the first nine months of 2022 compared to net earnings attributable to Hasbro, Inc. of $346.5 million, or $2.51 per diluted share, in the first nine months of 2021. The net earnings in the first nine months of 2021 included the loss on assets held for sale from the Music business, as discussed above.</w:t>
      </w:r>
    </w:p>
    <w:p>
      <w:pPr>
        <w:spacing w:after="0" w:line="6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impact of changes in foreign currency exchange rates used to translate the consolidated statements of operations is quantified by translating the current period revenues at the prior period exchange rates and comparing this amount to the prior period reported revenues. The Company believes that the presentation of the impact of changes in exchange rates, which are beyond the Company’s control, is helpful to an investor’s understanding of the performance of the underlying business.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 OF FINANCIAL PERFORMANCE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results of operations is illustrated below for the quarters and nine-month periods ended September 25, 2022 and September 26, 2021.</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80" w:type="dxa"/>
            <w:vAlign w:val="bottom"/>
            <w:gridSpan w:val="5"/>
          </w:tcPr>
          <w:p>
            <w:pPr>
              <w:ind w:left="80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140" w:type="dxa"/>
            <w:vAlign w:val="bottom"/>
          </w:tcPr>
          <w:p>
            <w:pPr>
              <w:spacing w:after="0"/>
              <w:rPr>
                <w:sz w:val="20"/>
                <w:szCs w:val="20"/>
                <w:color w:val="auto"/>
              </w:rPr>
            </w:pPr>
          </w:p>
        </w:tc>
        <w:tc>
          <w:tcPr>
            <w:tcW w:w="2960" w:type="dxa"/>
            <w:vAlign w:val="bottom"/>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69"/>
        </w:trPr>
        <w:tc>
          <w:tcPr>
            <w:tcW w:w="48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gridSpan w:val="2"/>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September 25,</w:t>
            </w:r>
          </w:p>
        </w:tc>
        <w:tc>
          <w:tcPr>
            <w:tcW w:w="14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110"/>
              <w:spacing w:after="0" w:line="169" w:lineRule="exact"/>
              <w:rPr>
                <w:sz w:val="20"/>
                <w:szCs w:val="20"/>
                <w:color w:val="auto"/>
              </w:rPr>
            </w:pPr>
            <w:r>
              <w:rPr>
                <w:rFonts w:ascii="Times New Roman" w:cs="Times New Roman" w:eastAsia="Times New Roman" w:hAnsi="Times New Roman"/>
                <w:sz w:val="18"/>
                <w:szCs w:val="18"/>
                <w:b w:val="1"/>
                <w:bCs w:val="1"/>
                <w:color w:val="auto"/>
              </w:rPr>
              <w:t>September 26,</w:t>
            </w:r>
          </w:p>
        </w:tc>
        <w:tc>
          <w:tcPr>
            <w:tcW w:w="2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gridSpan w:val="2"/>
          </w:tcPr>
          <w:p>
            <w:pPr>
              <w:ind w:left="60"/>
              <w:spacing w:after="0" w:line="169" w:lineRule="exact"/>
              <w:rPr>
                <w:sz w:val="20"/>
                <w:szCs w:val="20"/>
                <w:color w:val="auto"/>
              </w:rPr>
            </w:pPr>
            <w:r>
              <w:rPr>
                <w:rFonts w:ascii="Times New Roman" w:cs="Times New Roman" w:eastAsia="Times New Roman" w:hAnsi="Times New Roman"/>
                <w:sz w:val="18"/>
                <w:szCs w:val="18"/>
                <w:b w:val="1"/>
                <w:bCs w:val="1"/>
                <w:color w:val="auto"/>
              </w:rPr>
              <w:t>September 25,</w:t>
            </w:r>
          </w:p>
        </w:tc>
        <w:tc>
          <w:tcPr>
            <w:tcW w:w="1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110"/>
              <w:spacing w:after="0" w:line="169" w:lineRule="exact"/>
              <w:rPr>
                <w:sz w:val="20"/>
                <w:szCs w:val="20"/>
                <w:color w:val="auto"/>
              </w:rPr>
            </w:pPr>
            <w:r>
              <w:rPr>
                <w:rFonts w:ascii="Times New Roman" w:cs="Times New Roman" w:eastAsia="Times New Roman" w:hAnsi="Times New Roman"/>
                <w:sz w:val="18"/>
                <w:szCs w:val="18"/>
                <w:b w:val="1"/>
                <w:bCs w:val="1"/>
                <w:color w:val="auto"/>
              </w:rPr>
              <w:t>September 26,</w:t>
            </w:r>
          </w:p>
        </w:tc>
      </w:tr>
      <w:tr>
        <w:trPr>
          <w:trHeight w:val="241"/>
        </w:trPr>
        <w:tc>
          <w:tcPr>
            <w:tcW w:w="48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5"/>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1,970.0</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4,407.0</w:t>
            </w:r>
          </w:p>
        </w:tc>
      </w:tr>
      <w:tr>
        <w:trPr>
          <w:trHeight w:val="230"/>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367.9</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591.8</w:t>
            </w:r>
          </w:p>
        </w:tc>
      </w:tr>
      <w:tr>
        <w:trPr>
          <w:trHeight w:val="230"/>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323.4</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494.0</w:t>
            </w:r>
          </w:p>
        </w:tc>
      </w:tr>
      <w:tr>
        <w:trPr>
          <w:trHeight w:val="229"/>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254.9</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350.5</w:t>
            </w:r>
          </w:p>
        </w:tc>
      </w:tr>
      <w:tr>
        <w:trPr>
          <w:trHeight w:val="230"/>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earnings attributable to noncontrolling interests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0"/>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attributable to Hasbro, Inc.</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253.2</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346.5</w:t>
            </w:r>
          </w:p>
        </w:tc>
      </w:tr>
      <w:tr>
        <w:trPr>
          <w:trHeight w:val="230"/>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 – CONSOLIDATED</w:t>
      </w:r>
    </w:p>
    <w:p>
      <w:pPr>
        <w:spacing w:after="0" w:line="121"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Net earnings and diluted earnings per share attributable to Hasbro, Inc. for the quarters and nine-month periods ended September 25, 2022 and September 26, 2021 include certain charges as described below.</w:t>
      </w:r>
    </w:p>
    <w:p>
      <w:pPr>
        <w:spacing w:after="0" w:line="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2022</w:t>
      </w:r>
    </w:p>
    <w:p>
      <w:pPr>
        <w:spacing w:after="0" w:line="121"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After-tax charges of $49.4 million, or $0.36 per diluted share for both the quarter and nine-month periods ended September 25, 2022 consisting of:</w:t>
      </w:r>
    </w:p>
    <w:p>
      <w:pPr>
        <w:spacing w:after="0" w:line="117" w:lineRule="exact"/>
        <w:rPr>
          <w:rFonts w:ascii="Times New Roman" w:cs="Times New Roman" w:eastAsia="Times New Roman" w:hAnsi="Times New Roman"/>
          <w:sz w:val="18"/>
          <w:szCs w:val="18"/>
          <w:color w:val="auto"/>
        </w:rPr>
      </w:pPr>
    </w:p>
    <w:p>
      <w:pPr>
        <w:ind w:left="1300" w:right="360" w:hanging="320"/>
        <w:spacing w:after="0" w:line="266" w:lineRule="auto"/>
        <w:tabs>
          <w:tab w:leader="none" w:pos="129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Loss on Assets Held for Sale of $21.1 million comprised of a non-cash goodwill impairment loss of $11.8 million and other asset impairments of $9.3 million, related to the exit of non-core businesses within the Entertainment segment. The assets and liabilities of these business were revalued and disclosed separately on the 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530860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2" w:name="page33"/>
    <w:bookmarkEnd w:id="32"/>
    <w:p>
      <w:pPr>
        <w:ind w:left="1300" w:right="140" w:hanging="320"/>
        <w:spacing w:after="0" w:line="282" w:lineRule="auto"/>
        <w:tabs>
          <w:tab w:leader="none" w:pos="129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impairment charges of $3.7 million related to projects discontinued as part of the Company's strategic review included in Program Cost Amortization within the Entertainment segment;</w:t>
      </w:r>
    </w:p>
    <w:p>
      <w:pPr>
        <w:spacing w:after="0" w:line="53" w:lineRule="exact"/>
        <w:rPr>
          <w:rFonts w:ascii="Times New Roman" w:cs="Times New Roman" w:eastAsia="Times New Roman" w:hAnsi="Times New Roman"/>
          <w:sz w:val="18"/>
          <w:szCs w:val="18"/>
          <w:color w:val="auto"/>
        </w:rPr>
      </w:pPr>
    </w:p>
    <w:p>
      <w:pPr>
        <w:ind w:left="1300" w:right="420" w:hanging="320"/>
        <w:spacing w:after="0" w:line="282" w:lineRule="auto"/>
        <w:tabs>
          <w:tab w:leader="none" w:pos="129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and other employee charges of $19.1 million associated with cost-savings initiatives across the Company included within Selling, Distribution and Administration within the Corporate and Other segment; and,</w:t>
      </w:r>
    </w:p>
    <w:p>
      <w:pPr>
        <w:spacing w:after="0" w:line="53" w:lineRule="exact"/>
        <w:rPr>
          <w:rFonts w:ascii="Times New Roman" w:cs="Times New Roman" w:eastAsia="Times New Roman" w:hAnsi="Times New Roman"/>
          <w:sz w:val="18"/>
          <w:szCs w:val="18"/>
          <w:color w:val="auto"/>
        </w:rPr>
      </w:pPr>
    </w:p>
    <w:p>
      <w:pPr>
        <w:ind w:left="1300" w:right="100" w:hanging="320"/>
        <w:spacing w:after="0" w:line="282" w:lineRule="auto"/>
        <w:tabs>
          <w:tab w:leader="none" w:pos="129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program related consultant fees of $5.5 million included within Selling, Distribution and Administration within the Corporate and Other segment.</w:t>
      </w:r>
    </w:p>
    <w:p>
      <w:pPr>
        <w:spacing w:after="0" w:line="53" w:lineRule="exact"/>
        <w:rPr>
          <w:rFonts w:ascii="Times New Roman" w:cs="Times New Roman" w:eastAsia="Times New Roman" w:hAnsi="Times New Roman"/>
          <w:sz w:val="18"/>
          <w:szCs w:val="18"/>
          <w:color w:val="auto"/>
        </w:rPr>
      </w:pPr>
    </w:p>
    <w:p>
      <w:pPr>
        <w:ind w:left="660" w:hanging="328"/>
        <w:spacing w:after="0" w:line="261"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After-tax charges of $14.3 million, or $0.10 per diluted share and $45.5 million, or $0.33 per diluted share, of intangible amortization costs for the quarter and nine-month periods ended September 25, 2022, respectively, related to the intangible assets acquired in the eOne Acquisition. Beginning in 2022, these intangible amortization costs have been allocated between the Consumer Products and Entertainment segments, to match the revenue generated from such intangible assets.</w:t>
      </w:r>
    </w:p>
    <w:p>
      <w:pPr>
        <w:spacing w:after="0" w:line="71" w:lineRule="exact"/>
        <w:rPr>
          <w:rFonts w:ascii="Times New Roman" w:cs="Times New Roman" w:eastAsia="Times New Roman" w:hAnsi="Times New Roman"/>
          <w:sz w:val="18"/>
          <w:szCs w:val="18"/>
          <w:color w:val="auto"/>
        </w:rPr>
      </w:pPr>
    </w:p>
    <w:p>
      <w:pPr>
        <w:jc w:val="both"/>
        <w:ind w:left="660" w:right="360" w:hanging="328"/>
        <w:spacing w:after="0" w:line="266"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After-tax charges of $3.3 million, $0.02 per diluted share and $8.9 million, or $0.06 per diluted share, for the quarter and nine-month periods ended September 25, 2022, respectively, of expense associated with retention awards granted in connection with the eOne Acquisition. These expenses are included within Selling, Distribution and Administration within the Corporate and Other segment.</w:t>
      </w:r>
    </w:p>
    <w:p>
      <w:pPr>
        <w:spacing w:after="0" w:line="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2021</w:t>
      </w:r>
    </w:p>
    <w:p>
      <w:pPr>
        <w:spacing w:after="0" w:line="121" w:lineRule="exact"/>
        <w:rPr>
          <w:sz w:val="20"/>
          <w:szCs w:val="20"/>
          <w:color w:val="auto"/>
        </w:rPr>
      </w:pPr>
    </w:p>
    <w:p>
      <w:pPr>
        <w:jc w:val="both"/>
        <w:ind w:left="660" w:hanging="328"/>
        <w:spacing w:after="0" w:line="266" w:lineRule="auto"/>
        <w:tabs>
          <w:tab w:leader="none" w:pos="655" w:val="left"/>
        </w:tabs>
        <w:numPr>
          <w:ilvl w:val="0"/>
          <w:numId w:val="3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After-tax charges of $16.3 million, or $0.12 per diluted share and $55.0 million, or $0.40 per diluted share, of intangible amortization costs for the quarter and nine-month periods ended September 26, 2021, respectively, related to the intangible assets acquired in the eOne Acquisition. In 2021, these intangible amortization costs were recorded within the Entertainment segment.</w:t>
      </w:r>
    </w:p>
    <w:p>
      <w:pPr>
        <w:spacing w:after="0" w:line="67" w:lineRule="exact"/>
        <w:rPr>
          <w:rFonts w:ascii="Times New Roman" w:cs="Times New Roman" w:eastAsia="Times New Roman" w:hAnsi="Times New Roman"/>
          <w:sz w:val="18"/>
          <w:szCs w:val="18"/>
          <w:b w:val="1"/>
          <w:bCs w:val="1"/>
          <w:i w:val="1"/>
          <w:iCs w:val="1"/>
          <w:color w:val="auto"/>
        </w:rPr>
      </w:pPr>
    </w:p>
    <w:p>
      <w:pPr>
        <w:jc w:val="both"/>
        <w:ind w:left="660" w:right="360" w:hanging="328"/>
        <w:spacing w:after="0" w:line="266" w:lineRule="auto"/>
        <w:tabs>
          <w:tab w:leader="none" w:pos="655" w:val="left"/>
        </w:tabs>
        <w:numPr>
          <w:ilvl w:val="0"/>
          <w:numId w:val="3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After-tax charges of $1.7 million, $0.01 per diluted share and $5.0 million, or $0.04 per diluted share, for the quarter and nine-month periods ended September 26, 2021, respectively, of expense associated with retention awards granted in connection with the eOne Acquisition. These expenses are included within Selling, Distribution and Administration within the Corporate segment.</w:t>
      </w:r>
    </w:p>
    <w:p>
      <w:pPr>
        <w:spacing w:after="0" w:line="67" w:lineRule="exact"/>
        <w:rPr>
          <w:rFonts w:ascii="Times New Roman" w:cs="Times New Roman" w:eastAsia="Times New Roman" w:hAnsi="Times New Roman"/>
          <w:sz w:val="18"/>
          <w:szCs w:val="18"/>
          <w:b w:val="1"/>
          <w:bCs w:val="1"/>
          <w:i w:val="1"/>
          <w:iCs w:val="1"/>
          <w:color w:val="auto"/>
        </w:rPr>
      </w:pPr>
    </w:p>
    <w:p>
      <w:pPr>
        <w:ind w:left="660" w:right="300" w:hanging="328"/>
        <w:spacing w:after="0" w:line="266" w:lineRule="auto"/>
        <w:tabs>
          <w:tab w:leader="none" w:pos="655" w:val="left"/>
        </w:tabs>
        <w:numPr>
          <w:ilvl w:val="0"/>
          <w:numId w:val="3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After-tax charge of $109.1 million, or $0.79 per diluted share for the nine-month period ended September 26, 2021, comprised of a non-cash goodwill impairment charge of $101.8 million and transaction expenses of $7.3 million, associated with the sale of eOne Music. The goodwill impairment charge of $101.8 million was based on revalued assets and liabilities of eOne Music as of the second quarter of 2021.</w:t>
      </w:r>
    </w:p>
    <w:p>
      <w:pPr>
        <w:spacing w:after="0" w:line="67" w:lineRule="exact"/>
        <w:rPr>
          <w:rFonts w:ascii="Times New Roman" w:cs="Times New Roman" w:eastAsia="Times New Roman" w:hAnsi="Times New Roman"/>
          <w:sz w:val="18"/>
          <w:szCs w:val="18"/>
          <w:b w:val="1"/>
          <w:bCs w:val="1"/>
          <w:i w:val="1"/>
          <w:iCs w:val="1"/>
          <w:color w:val="auto"/>
        </w:rPr>
      </w:pPr>
    </w:p>
    <w:p>
      <w:pPr>
        <w:ind w:left="660" w:right="20" w:hanging="328"/>
        <w:spacing w:after="0" w:line="312" w:lineRule="auto"/>
        <w:tabs>
          <w:tab w:leader="none" w:pos="655" w:val="left"/>
        </w:tabs>
        <w:numPr>
          <w:ilvl w:val="0"/>
          <w:numId w:val="30"/>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A net charge of $39.4 million, or $0.28 per diluted share, for quarter and nine-month periods ended September 26, 2021, of income tax expense as a result of revaluation of Hasbro’s UK tax attributes in accordance with the Finance Act 2021 enacted by the United Kingdom on June 10, 2021.</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Third Quarter 2022</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quarters ended September 25, 2022 and September 26, 2021 were each 13-week periods.</w:t>
      </w:r>
    </w:p>
    <w:p>
      <w:pPr>
        <w:spacing w:after="0" w:line="11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Consolidated net revenues for the third quarter of 2022 declined 15% to $1,675.9 million from $1,970.0 million for the third quarter of 2021 and included an unfavorable $53.7 million impact from foreign currency translation as a result of weakening currencies, primarily in Europe.</w:t>
      </w:r>
    </w:p>
    <w:p>
      <w:pPr>
        <w:spacing w:after="0" w:line="5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Operating profit for the third quarter of 2022 was $194.3 million, or 11.6% of net revenues, compared to operating profit of $367.9 million, or 18.7% of net revenues, for the third quarter of 2021. In addition to the charges to operating profit described above, the operating profit decrease in the third quarter of 2022 was the result of lower revenue volumes and a reduction in gross margin driven by increased product costs and higher sales allowances, most notably within the Consumer Products segment, partially offset by lower program cost amortization related to lower revenues within the Entertainment segment. Also contributing to the decrease in operating profit were increased inventory obsolescence charges associated with higher inventory levels, as well as higher marketing and sales expense. These impacts to operating profit were partially offset by lower advertising expense and lower royalty expense reflecting the mix and timing of entertainment deliveries in the quarter compared to the third quarter of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538480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99" w:right="3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The following table presents net revenues by brand and entertainment portfolio for the quarters ended September 25, 2022 and September 26, 2021.</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1660" w:type="dxa"/>
            <w:vAlign w:val="bottom"/>
            <w:tcBorders>
              <w:bottom w:val="single" w:sz="8" w:color="auto"/>
            </w:tcBorders>
          </w:tcPr>
          <w:p>
            <w:pPr>
              <w:spacing w:after="0"/>
              <w:rPr>
                <w:sz w:val="20"/>
                <w:szCs w:val="20"/>
                <w:color w:val="auto"/>
              </w:rPr>
            </w:pPr>
          </w:p>
        </w:tc>
      </w:tr>
      <w:tr>
        <w:trPr>
          <w:trHeight w:val="169"/>
        </w:trPr>
        <w:tc>
          <w:tcPr>
            <w:tcW w:w="6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ind w:left="60"/>
              <w:spacing w:after="0" w:line="169" w:lineRule="exact"/>
              <w:rPr>
                <w:sz w:val="20"/>
                <w:szCs w:val="20"/>
                <w:color w:val="auto"/>
              </w:rPr>
            </w:pPr>
            <w:r>
              <w:rPr>
                <w:rFonts w:ascii="Times New Roman" w:cs="Times New Roman" w:eastAsia="Times New Roman" w:hAnsi="Times New Roman"/>
                <w:sz w:val="18"/>
                <w:szCs w:val="18"/>
                <w:b w:val="1"/>
                <w:bCs w:val="1"/>
                <w:color w:val="auto"/>
              </w:rPr>
              <w:t>September 25,</w:t>
            </w:r>
          </w:p>
        </w:tc>
        <w:tc>
          <w:tcPr>
            <w:tcW w:w="160" w:type="dxa"/>
            <w:vAlign w:val="bottom"/>
          </w:tcPr>
          <w:p>
            <w:pPr>
              <w:spacing w:after="0"/>
              <w:rPr>
                <w:sz w:val="14"/>
                <w:szCs w:val="14"/>
                <w:color w:val="auto"/>
              </w:rPr>
            </w:pPr>
          </w:p>
        </w:tc>
        <w:tc>
          <w:tcPr>
            <w:tcW w:w="1460" w:type="dxa"/>
            <w:vAlign w:val="bottom"/>
            <w:gridSpan w:val="2"/>
          </w:tcPr>
          <w:p>
            <w:pPr>
              <w:ind w:left="60"/>
              <w:spacing w:after="0" w:line="169" w:lineRule="exact"/>
              <w:rPr>
                <w:sz w:val="20"/>
                <w:szCs w:val="20"/>
                <w:color w:val="auto"/>
              </w:rPr>
            </w:pPr>
            <w:r>
              <w:rPr>
                <w:rFonts w:ascii="Times New Roman" w:cs="Times New Roman" w:eastAsia="Times New Roman" w:hAnsi="Times New Roman"/>
                <w:sz w:val="18"/>
                <w:szCs w:val="18"/>
                <w:b w:val="1"/>
                <w:bCs w:val="1"/>
                <w:color w:val="auto"/>
              </w:rPr>
              <w:t>September 26,</w:t>
            </w:r>
          </w:p>
        </w:tc>
        <w:tc>
          <w:tcPr>
            <w:tcW w:w="1660" w:type="dxa"/>
            <w:vAlign w:val="bottom"/>
          </w:tcPr>
          <w:p>
            <w:pPr>
              <w:jc w:val="right"/>
              <w:ind w:right="650"/>
              <w:spacing w:after="0" w:line="169"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41"/>
        </w:trPr>
        <w:tc>
          <w:tcPr>
            <w:tcW w:w="62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16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5"/>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Franchise Brands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925.1</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3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Partner Brands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366.7</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2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Hasbro Gaming</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281.9</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29"/>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Emerging Brands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3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TV/Film/Entertainment</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w:t>
            </w:r>
          </w:p>
        </w:tc>
        <w:tc>
          <w:tcPr>
            <w:tcW w:w="10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r>
      <w:tr>
        <w:trPr>
          <w:trHeight w:val="22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1,675.9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1,970.0</w:t>
            </w:r>
          </w:p>
        </w:tc>
        <w:tc>
          <w:tcPr>
            <w:tcW w:w="100" w:type="dxa"/>
            <w:vAlign w:val="bottom"/>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1"/>
        </w:trPr>
        <w:tc>
          <w:tcPr>
            <w:tcW w:w="6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Brand portfolio net revenues for the third quarter of 2021 have been restated to reflect the elevation of PEPPA PIG from Emerging Brands to Franchise Brands, effective for the first quarter of 2022. As a result, third quarter 2021 net revenues of $43.1 million were reclassified from Emerging Brands to Franchise Brands.</w:t>
      </w:r>
    </w:p>
    <w:p>
      <w:pPr>
        <w:spacing w:after="0" w:line="66"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FRANCHISE BRANDS: </w:t>
      </w:r>
      <w:r>
        <w:rPr>
          <w:rFonts w:ascii="Times New Roman" w:cs="Times New Roman" w:eastAsia="Times New Roman" w:hAnsi="Times New Roman"/>
          <w:sz w:val="18"/>
          <w:szCs w:val="18"/>
          <w:color w:val="auto"/>
        </w:rPr>
        <w:t>Net revenues in the Franchise Brands portfolio decreased 12% in the third quarter of 2022 compared to the third quarter of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Drivers of the net revenue decrease include lower net revenues from MAGIC: THE GATHERING products, reflecting a shift in set release cadence during the third quarter of 2022 compared to the third quarter of 2021, as well as lower net revenues from NERF and MONOPOLY products. In addition, the decrease in Franchise Brands net revenues includes lower sales of MY LITTLE PONY content compared to the third quarter of 2021, which benefited from the September 2021 release of </w:t>
      </w:r>
      <w:r>
        <w:rPr>
          <w:rFonts w:ascii="Times New Roman" w:cs="Times New Roman" w:eastAsia="Times New Roman" w:hAnsi="Times New Roman"/>
          <w:sz w:val="18"/>
          <w:szCs w:val="18"/>
          <w:i w:val="1"/>
          <w:iCs w:val="1"/>
          <w:color w:val="auto"/>
        </w:rPr>
        <w:t>MY LITTLE PONY: A NEW GENERATION</w:t>
      </w:r>
      <w:r>
        <w:rPr>
          <w:rFonts w:ascii="Times New Roman" w:cs="Times New Roman" w:eastAsia="Times New Roman" w:hAnsi="Times New Roman"/>
          <w:sz w:val="18"/>
          <w:szCs w:val="18"/>
          <w:color w:val="auto"/>
        </w:rPr>
        <w:t xml:space="preserve"> and the associated product line. These net revenue decreases were partially offset by higher net revenues from PLAY-DOH and PEPPA PIG products.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PARTNER BRANDS: </w:t>
      </w:r>
      <w:r>
        <w:rPr>
          <w:rFonts w:ascii="Times New Roman" w:cs="Times New Roman" w:eastAsia="Times New Roman" w:hAnsi="Times New Roman"/>
          <w:sz w:val="18"/>
          <w:szCs w:val="18"/>
          <w:color w:val="auto"/>
        </w:rPr>
        <w:t>Net revenues from the Partner Brands portfolio decreased 5% in the third quarter of 2022 compared to the third quarter of</w:t>
      </w:r>
    </w:p>
    <w:p>
      <w:pPr>
        <w:spacing w:after="0" w:line="2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2021. Within the Partner Brands portfolio, there are a number of brands which are reliant on related entertainment, including television and movie releases. As such, net revenues from partner brands fluctuate depending on entertainment popularity, release dates and related product line offerings. Historically these entertainment-based brands experience higher revenues during years in which new content is released in theaters, for broadcast, and on streaming platforms.</w:t>
      </w:r>
    </w:p>
    <w:p>
      <w:pPr>
        <w:spacing w:after="0" w:line="8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During the third quarter of 2022, Partner Brands net revenue decreases were driven by lower sales of the Company's products for BEYBLADE and GHOSTBUSTERS as well as lower sales of the Company's products for DISNEY FROZEN and DISNEY PRINCESS. These net revenue decreases were partially offset by higher net revenues from the Company's line of STAR WARS products supported by the entertainment lineup from Lucasfilms including, </w:t>
      </w:r>
      <w:r>
        <w:rPr>
          <w:rFonts w:ascii="Times New Roman" w:cs="Times New Roman" w:eastAsia="Times New Roman" w:hAnsi="Times New Roman"/>
          <w:sz w:val="18"/>
          <w:szCs w:val="18"/>
          <w:i w:val="1"/>
          <w:iCs w:val="1"/>
          <w:color w:val="auto"/>
        </w:rPr>
        <w:t xml:space="preserve">THE BOOK of BOBA FETT, </w:t>
      </w:r>
      <w:r>
        <w:rPr>
          <w:rFonts w:ascii="Times New Roman" w:cs="Times New Roman" w:eastAsia="Times New Roman" w:hAnsi="Times New Roman"/>
          <w:sz w:val="18"/>
          <w:szCs w:val="18"/>
          <w:color w:val="auto"/>
        </w:rPr>
        <w:t>released in the first fiscal quarter of 2022 and the launch of the</w:t>
      </w:r>
      <w:r>
        <w:rPr>
          <w:rFonts w:ascii="Times New Roman" w:cs="Times New Roman" w:eastAsia="Times New Roman" w:hAnsi="Times New Roman"/>
          <w:sz w:val="18"/>
          <w:szCs w:val="18"/>
          <w:i w:val="1"/>
          <w:iCs w:val="1"/>
          <w:color w:val="auto"/>
        </w:rPr>
        <w:t xml:space="preserve"> STAR WARS </w:t>
      </w:r>
      <w:r>
        <w:rPr>
          <w:rFonts w:ascii="Times New Roman" w:cs="Times New Roman" w:eastAsia="Times New Roman" w:hAnsi="Times New Roman"/>
          <w:sz w:val="18"/>
          <w:szCs w:val="18"/>
          <w:color w:val="auto"/>
        </w:rPr>
        <w:t>series</w:t>
      </w:r>
      <w:r>
        <w:rPr>
          <w:rFonts w:ascii="Times New Roman" w:cs="Times New Roman" w:eastAsia="Times New Roman" w:hAnsi="Times New Roman"/>
          <w:sz w:val="18"/>
          <w:szCs w:val="18"/>
          <w:i w:val="1"/>
          <w:iCs w:val="1"/>
          <w:color w:val="auto"/>
        </w:rPr>
        <w:t xml:space="preserve"> OBI-WAN KENOBI </w:t>
      </w:r>
      <w:r>
        <w:rPr>
          <w:rFonts w:ascii="Times New Roman" w:cs="Times New Roman" w:eastAsia="Times New Roman" w:hAnsi="Times New Roman"/>
          <w:sz w:val="18"/>
          <w:szCs w:val="18"/>
          <w:color w:val="auto"/>
        </w:rPr>
        <w:t>series during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second quarter of 2022, both streaming on Disney+. In addition, higher net revenues from the Company's products for MARVEL benefited ahead of the release of </w:t>
      </w:r>
      <w:r>
        <w:rPr>
          <w:rFonts w:ascii="Times New Roman" w:cs="Times New Roman" w:eastAsia="Times New Roman" w:hAnsi="Times New Roman"/>
          <w:sz w:val="18"/>
          <w:szCs w:val="18"/>
          <w:i w:val="1"/>
          <w:iCs w:val="1"/>
          <w:color w:val="auto"/>
        </w:rPr>
        <w:t>BLACK PANTHER: WAKANDA FOREVER</w:t>
      </w:r>
      <w:r>
        <w:rPr>
          <w:rFonts w:ascii="Times New Roman" w:cs="Times New Roman" w:eastAsia="Times New Roman" w:hAnsi="Times New Roman"/>
          <w:sz w:val="18"/>
          <w:szCs w:val="18"/>
          <w:color w:val="auto"/>
        </w:rPr>
        <w:t xml:space="preserve">, expected in November 2022 and reflect momentum in the SPIDER-MAN franchise which benefited from entertainment releases including the children’s animated television series, Marvel's </w:t>
      </w:r>
      <w:r>
        <w:rPr>
          <w:rFonts w:ascii="Times New Roman" w:cs="Times New Roman" w:eastAsia="Times New Roman" w:hAnsi="Times New Roman"/>
          <w:sz w:val="18"/>
          <w:szCs w:val="18"/>
          <w:i w:val="1"/>
          <w:iCs w:val="1"/>
          <w:color w:val="auto"/>
        </w:rPr>
        <w:t>SPIDEY and HIS AMAZING FRIENDS and</w:t>
      </w:r>
      <w:r>
        <w:rPr>
          <w:rFonts w:ascii="Times New Roman" w:cs="Times New Roman" w:eastAsia="Times New Roman" w:hAnsi="Times New Roman"/>
          <w:sz w:val="18"/>
          <w:szCs w:val="18"/>
          <w:color w:val="auto"/>
        </w:rPr>
        <w:t xml:space="preserve"> Marvel Studios' </w:t>
      </w:r>
      <w:r>
        <w:rPr>
          <w:rFonts w:ascii="Times New Roman" w:cs="Times New Roman" w:eastAsia="Times New Roman" w:hAnsi="Times New Roman"/>
          <w:sz w:val="18"/>
          <w:szCs w:val="18"/>
          <w:i w:val="1"/>
          <w:iCs w:val="1"/>
          <w:color w:val="auto"/>
        </w:rPr>
        <w:t xml:space="preserve">SPIDER-MAN: NO WAY HOME, </w:t>
      </w:r>
      <w:r>
        <w:rPr>
          <w:rFonts w:ascii="Times New Roman" w:cs="Times New Roman" w:eastAsia="Times New Roman" w:hAnsi="Times New Roman"/>
          <w:sz w:val="18"/>
          <w:szCs w:val="18"/>
          <w:color w:val="auto"/>
        </w:rPr>
        <w:t>released in December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 lesser extent, the Company's products for Marvel's AVENGERS benefited from the July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2022 release of </w:t>
      </w:r>
      <w:r>
        <w:rPr>
          <w:rFonts w:ascii="Times New Roman" w:cs="Times New Roman" w:eastAsia="Times New Roman" w:hAnsi="Times New Roman"/>
          <w:sz w:val="18"/>
          <w:szCs w:val="18"/>
          <w:i w:val="1"/>
          <w:iCs w:val="1"/>
          <w:color w:val="auto"/>
        </w:rPr>
        <w:t>THOR: LOVE AND THUNDER.</w:t>
      </w:r>
    </w:p>
    <w:p>
      <w:pPr>
        <w:spacing w:after="0" w:line="78"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HASBRO GAMING: </w:t>
      </w:r>
      <w:r>
        <w:rPr>
          <w:rFonts w:ascii="Times New Roman" w:cs="Times New Roman" w:eastAsia="Times New Roman" w:hAnsi="Times New Roman"/>
          <w:sz w:val="18"/>
          <w:szCs w:val="18"/>
          <w:color w:val="auto"/>
        </w:rPr>
        <w:t>Net revenues in the Hasbro Gaming portfolio decreased 25% in the third quarter of 2022 compared to the third quarter of 2021 driven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by net revenue decreases from JENGA, LIFE and certain other Hasbro Gaming products. These net revenue decreases were partially offset by higher net revenues from Avalon Hill and DUNGEON &amp; DRAGONS.</w:t>
      </w:r>
    </w:p>
    <w:p>
      <w:pPr>
        <w:spacing w:after="0" w:line="6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Net revenues for Hasbro’s total gaming category, including the Hasbro Gaming portfolio as reported above and all other gaming revenue, most notably revenues from MAGIC: THE GATHERING and MONOPOLY products, which are included in the Franchise Brands portfolio, totaled $508.6 million for the third quarter of 2022, a decrease of 23%, as compared to $658.6 million in the third quarter of 2021.</w:t>
      </w:r>
    </w:p>
    <w:p>
      <w:pPr>
        <w:spacing w:after="0" w:line="66" w:lineRule="exact"/>
        <w:rPr>
          <w:sz w:val="20"/>
          <w:szCs w:val="20"/>
          <w:color w:val="auto"/>
        </w:rPr>
      </w:pPr>
    </w:p>
    <w:p>
      <w:pPr>
        <w:jc w:val="both"/>
        <w:ind w:right="1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EMERGING BRANDS: </w:t>
      </w:r>
      <w:r>
        <w:rPr>
          <w:rFonts w:ascii="Times New Roman" w:cs="Times New Roman" w:eastAsia="Times New Roman" w:hAnsi="Times New Roman"/>
          <w:sz w:val="18"/>
          <w:szCs w:val="18"/>
          <w:color w:val="auto"/>
        </w:rPr>
        <w:t>Net revenues from the Emerging Brands portfolio decreased 8% during the third quarter of 2022 compared to the third quarter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2021. Net revenue decreases were primarily driven by PJ MASKS, core PLAYSKOOL and GI JOE products, partially offset by higher net revenues from EASY BAKE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530225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4" w:name="page35"/>
    <w:bookmarkEnd w:id="34"/>
    <w:p>
      <w:pPr>
        <w:ind w:right="3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TV/FILM/ENTERTAINMENT: </w:t>
      </w:r>
      <w:r>
        <w:rPr>
          <w:rFonts w:ascii="Times New Roman" w:cs="Times New Roman" w:eastAsia="Times New Roman" w:hAnsi="Times New Roman"/>
          <w:sz w:val="18"/>
          <w:szCs w:val="18"/>
          <w:color w:val="auto"/>
        </w:rPr>
        <w:t>Net revenues from the TV/Film/Entertainment portfolio decreased 32% compared to the third quarter of 2021. The third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quarter 2022 net revenue decrease was driven by lower third quarter 2022 film deliveries compared to the third quarter of 2021, which included film deliveries such as </w:t>
      </w:r>
      <w:r>
        <w:rPr>
          <w:rFonts w:ascii="Times New Roman" w:cs="Times New Roman" w:eastAsia="Times New Roman" w:hAnsi="Times New Roman"/>
          <w:sz w:val="18"/>
          <w:szCs w:val="18"/>
          <w:i w:val="1"/>
          <w:iCs w:val="1"/>
          <w:color w:val="auto"/>
        </w:rPr>
        <w:t>Come From Away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Finch,</w:t>
      </w:r>
      <w:r>
        <w:rPr>
          <w:rFonts w:ascii="Times New Roman" w:cs="Times New Roman" w:eastAsia="Times New Roman" w:hAnsi="Times New Roman"/>
          <w:sz w:val="18"/>
          <w:szCs w:val="18"/>
          <w:color w:val="auto"/>
        </w:rPr>
        <w:t xml:space="preserve"> with no comparable film deliveries during the third quarter of 2022. Lower unscripted deliveries in the third quarter of 2022, primarily due to production timing also contributed to the decline. These decreases were partially offset by scripted production deliveries in the third quarter of 2022 that include </w:t>
      </w:r>
      <w:r>
        <w:rPr>
          <w:rFonts w:ascii="Times New Roman" w:cs="Times New Roman" w:eastAsia="Times New Roman" w:hAnsi="Times New Roman"/>
          <w:sz w:val="18"/>
          <w:szCs w:val="18"/>
          <w:i w:val="1"/>
          <w:iCs w:val="1"/>
          <w:color w:val="auto"/>
        </w:rPr>
        <w:t>Cruel Summer</w:t>
      </w:r>
      <w:r>
        <w:rPr>
          <w:rFonts w:ascii="Times New Roman" w:cs="Times New Roman" w:eastAsia="Times New Roman" w:hAnsi="Times New Roman"/>
          <w:sz w:val="18"/>
          <w:szCs w:val="18"/>
          <w:color w:val="auto"/>
        </w:rPr>
        <w:t xml:space="preserve"> season two</w:t>
      </w:r>
      <w:r>
        <w:rPr>
          <w:rFonts w:ascii="Times New Roman" w:cs="Times New Roman" w:eastAsia="Times New Roman" w:hAnsi="Times New Roman"/>
          <w:sz w:val="18"/>
          <w:szCs w:val="18"/>
          <w:i w:val="1"/>
          <w:iCs w:val="1"/>
          <w:color w:val="auto"/>
        </w:rPr>
        <w:t>, The Rookie</w:t>
      </w:r>
      <w:r>
        <w:rPr>
          <w:rFonts w:ascii="Times New Roman" w:cs="Times New Roman" w:eastAsia="Times New Roman" w:hAnsi="Times New Roman"/>
          <w:sz w:val="18"/>
          <w:szCs w:val="18"/>
          <w:color w:val="auto"/>
        </w:rPr>
        <w:t xml:space="preserve"> season five and </w:t>
      </w:r>
      <w:r>
        <w:rPr>
          <w:rFonts w:ascii="Times New Roman" w:cs="Times New Roman" w:eastAsia="Times New Roman" w:hAnsi="Times New Roman"/>
          <w:sz w:val="18"/>
          <w:szCs w:val="18"/>
          <w:i w:val="1"/>
          <w:iCs w:val="1"/>
          <w:color w:val="auto"/>
        </w:rPr>
        <w:t>The Rookie: Feds</w:t>
      </w:r>
      <w:r>
        <w:rPr>
          <w:rFonts w:ascii="Times New Roman" w:cs="Times New Roman" w:eastAsia="Times New Roman" w:hAnsi="Times New Roman"/>
          <w:sz w:val="18"/>
          <w:szCs w:val="18"/>
          <w:color w:val="auto"/>
        </w:rPr>
        <w:t xml:space="preserve"> season one.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First Nine Months of 2022</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nine-month periods ended September 25, 2022 and September 26, 2021 were each 39-week periods.</w:t>
      </w:r>
    </w:p>
    <w:p>
      <w:pPr>
        <w:spacing w:after="0" w:line="19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For the first nine months of 2022, consolidated net revenues decreased 5% compared to the first nine months of 2021 and reflect an unfavorable variance of $103.8 million as a result of foreign currency translation due to weaker currencies across the Company's European and, to a lesser extent, Asia Pacific markets when compared to the first nine months of 2021.</w:t>
      </w:r>
    </w:p>
    <w:p>
      <w:pPr>
        <w:spacing w:after="0" w:line="68"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Operating profit for the first nine months of 2022 was $533.4 million, or 12.8% of net revenues, compared to an operating profit of $591.8 million, or 13.4% of net revenues, for the first nine months of 2021. In addition to the charges to operating profit described above, the operating profit decrease was primarily driven by lower revenue volumes and a reduction in gross margin driven by increased product costs and higher sales allowances, most notably</w:t>
      </w:r>
    </w:p>
    <w:p>
      <w:pPr>
        <w:ind w:right="20"/>
        <w:spacing w:after="0" w:line="261" w:lineRule="auto"/>
        <w:rPr>
          <w:sz w:val="20"/>
          <w:szCs w:val="20"/>
          <w:color w:val="auto"/>
        </w:rPr>
      </w:pPr>
      <w:r>
        <w:rPr>
          <w:rFonts w:ascii="Times New Roman" w:cs="Times New Roman" w:eastAsia="Times New Roman" w:hAnsi="Times New Roman"/>
          <w:sz w:val="18"/>
          <w:szCs w:val="18"/>
          <w:color w:val="auto"/>
        </w:rPr>
        <w:t>within the Consumer Products segment. Also contributing to the decrease in operating profit were higher freight costs and to a lesser extent, higher marketing and sales and warehousing costs. These negative impacts to operating profit were partially offset by lower program amortization costs within the Entertainment segment, reflecting the mix of programming deliveries during the first nine months, lower royalty expenses, lower advertising costs and reduced administration expenses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net revenues by brand and entertainment portfolio for the first nine months of 2022 and 2021.</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1660" w:type="dxa"/>
            <w:vAlign w:val="bottom"/>
            <w:tcBorders>
              <w:bottom w:val="single" w:sz="8" w:color="auto"/>
            </w:tcBorders>
          </w:tcPr>
          <w:p>
            <w:pPr>
              <w:spacing w:after="0"/>
              <w:rPr>
                <w:sz w:val="20"/>
                <w:szCs w:val="20"/>
                <w:color w:val="auto"/>
              </w:rPr>
            </w:pPr>
          </w:p>
        </w:tc>
      </w:tr>
      <w:tr>
        <w:trPr>
          <w:trHeight w:val="169"/>
        </w:trPr>
        <w:tc>
          <w:tcPr>
            <w:tcW w:w="6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ind w:left="60"/>
              <w:spacing w:after="0" w:line="169" w:lineRule="exact"/>
              <w:rPr>
                <w:sz w:val="20"/>
                <w:szCs w:val="20"/>
                <w:color w:val="auto"/>
              </w:rPr>
            </w:pPr>
            <w:r>
              <w:rPr>
                <w:rFonts w:ascii="Times New Roman" w:cs="Times New Roman" w:eastAsia="Times New Roman" w:hAnsi="Times New Roman"/>
                <w:sz w:val="18"/>
                <w:szCs w:val="18"/>
                <w:b w:val="1"/>
                <w:bCs w:val="1"/>
                <w:color w:val="auto"/>
              </w:rPr>
              <w:t>September 25,</w:t>
            </w:r>
          </w:p>
        </w:tc>
        <w:tc>
          <w:tcPr>
            <w:tcW w:w="1620" w:type="dxa"/>
            <w:vAlign w:val="bottom"/>
            <w:gridSpan w:val="2"/>
          </w:tcPr>
          <w:p>
            <w:pPr>
              <w:ind w:left="220"/>
              <w:spacing w:after="0" w:line="169" w:lineRule="exact"/>
              <w:rPr>
                <w:sz w:val="20"/>
                <w:szCs w:val="20"/>
                <w:color w:val="auto"/>
              </w:rPr>
            </w:pPr>
            <w:r>
              <w:rPr>
                <w:rFonts w:ascii="Times New Roman" w:cs="Times New Roman" w:eastAsia="Times New Roman" w:hAnsi="Times New Roman"/>
                <w:sz w:val="18"/>
                <w:szCs w:val="18"/>
                <w:b w:val="1"/>
                <w:bCs w:val="1"/>
                <w:color w:val="auto"/>
              </w:rPr>
              <w:t>September 26,</w:t>
            </w:r>
          </w:p>
        </w:tc>
        <w:tc>
          <w:tcPr>
            <w:tcW w:w="1660" w:type="dxa"/>
            <w:vAlign w:val="bottom"/>
          </w:tcPr>
          <w:p>
            <w:pPr>
              <w:jc w:val="right"/>
              <w:ind w:right="650"/>
              <w:spacing w:after="0" w:line="169"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41"/>
        </w:trPr>
        <w:tc>
          <w:tcPr>
            <w:tcW w:w="62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15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16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5"/>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Franchise Brands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2,101.1</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2,125.4</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29"/>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Partner Brands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775.8</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766.7</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3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Hasbro Gaming</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480.7</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565.3</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3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Emerging Brands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291.8</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297.2</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3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TV/Film/Entertainment</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528.8</w:t>
            </w:r>
          </w:p>
        </w:tc>
        <w:tc>
          <w:tcPr>
            <w:tcW w:w="1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652.4</w:t>
            </w:r>
          </w:p>
        </w:tc>
        <w:tc>
          <w:tcPr>
            <w:tcW w:w="1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2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4,178.2</w:t>
            </w: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4,407.0</w:t>
            </w:r>
          </w:p>
        </w:tc>
        <w:tc>
          <w:tcPr>
            <w:tcW w:w="100" w:type="dxa"/>
            <w:vAlign w:val="bottom"/>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0"/>
        </w:trPr>
        <w:tc>
          <w:tcPr>
            <w:tcW w:w="6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Brand portfolio net revenues for first nine months of 2021 have been restated to reflect the elevation of PEPPA PIG from Emerging Brands to Franchise Brands, effective for the first quarter of 2022. As a result, net revenues of $102.0 million from the first nine months of 2021 were reclassified from Emerging Brands to Franchise Brands.</w:t>
      </w:r>
    </w:p>
    <w:p>
      <w:pPr>
        <w:spacing w:after="0" w:line="66" w:lineRule="exact"/>
        <w:rPr>
          <w:sz w:val="20"/>
          <w:szCs w:val="20"/>
          <w:color w:val="auto"/>
        </w:rPr>
      </w:pPr>
    </w:p>
    <w:p>
      <w:pPr>
        <w:ind w:right="20"/>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FRANCHISE BRANDS: </w:t>
      </w:r>
      <w:r>
        <w:rPr>
          <w:rFonts w:ascii="Times New Roman" w:cs="Times New Roman" w:eastAsia="Times New Roman" w:hAnsi="Times New Roman"/>
          <w:sz w:val="17"/>
          <w:szCs w:val="17"/>
          <w:color w:val="auto"/>
        </w:rPr>
        <w:t>Net revenues in the Franchise Brands portfolio decreased 1% in the first nine months of 2022 compared to 2021. The net revenue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decrease was primarily driven by lower net revenues from MONOPOLY and NERF products and to a lesser extent, lower net revenues from TRANSFORMERS and BABY ALIVE products. These decreases were partially offset by higher net revenues from PLAY-DOH and PEPPA PIG products.</w:t>
      </w:r>
    </w:p>
    <w:p>
      <w:pPr>
        <w:spacing w:after="0" w:line="4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PARTNER BRANDS: </w:t>
      </w:r>
      <w:r>
        <w:rPr>
          <w:rFonts w:ascii="Times New Roman" w:cs="Times New Roman" w:eastAsia="Times New Roman" w:hAnsi="Times New Roman"/>
          <w:sz w:val="18"/>
          <w:szCs w:val="18"/>
          <w:color w:val="auto"/>
        </w:rPr>
        <w:t>Net revenues from the Partner Brands portfolio increased 1% during the first nine months of 2022 compared to 2021. Partner Brands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net revenue increases were primarily driven by the Company's products for MARVEL, led by momentum in the SPIDER-MAN franchise which benefited from entertainment releases including the children’s animated television series, Marvel's </w:t>
      </w:r>
      <w:r>
        <w:rPr>
          <w:rFonts w:ascii="Times New Roman" w:cs="Times New Roman" w:eastAsia="Times New Roman" w:hAnsi="Times New Roman"/>
          <w:sz w:val="18"/>
          <w:szCs w:val="18"/>
          <w:i w:val="1"/>
          <w:iCs w:val="1"/>
          <w:color w:val="auto"/>
        </w:rPr>
        <w:t>SPIDEY and HIS AMAZING FRIENDS</w:t>
      </w:r>
      <w:r>
        <w:rPr>
          <w:rFonts w:ascii="Times New Roman" w:cs="Times New Roman" w:eastAsia="Times New Roman" w:hAnsi="Times New Roman"/>
          <w:sz w:val="18"/>
          <w:szCs w:val="18"/>
          <w:color w:val="auto"/>
        </w:rPr>
        <w:t xml:space="preserve"> as well as Marvel Studios' </w:t>
      </w:r>
      <w:r>
        <w:rPr>
          <w:rFonts w:ascii="Times New Roman" w:cs="Times New Roman" w:eastAsia="Times New Roman" w:hAnsi="Times New Roman"/>
          <w:sz w:val="18"/>
          <w:szCs w:val="18"/>
          <w:i w:val="1"/>
          <w:iCs w:val="1"/>
          <w:color w:val="auto"/>
        </w:rPr>
        <w:t xml:space="preserve">SPIDER-MAN: NO WAY HOME, </w:t>
      </w:r>
      <w:r>
        <w:rPr>
          <w:rFonts w:ascii="Times New Roman" w:cs="Times New Roman" w:eastAsia="Times New Roman" w:hAnsi="Times New Roman"/>
          <w:sz w:val="18"/>
          <w:szCs w:val="18"/>
          <w:color w:val="auto"/>
        </w:rPr>
        <w:t>released in December 2021, while the Company's products for Marvel's AVENGERS benefited from the release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Marvel Studios' </w:t>
      </w:r>
      <w:r>
        <w:rPr>
          <w:rFonts w:ascii="Times New Roman" w:cs="Times New Roman" w:eastAsia="Times New Roman" w:hAnsi="Times New Roman"/>
          <w:sz w:val="18"/>
          <w:szCs w:val="18"/>
          <w:i w:val="1"/>
          <w:iCs w:val="1"/>
          <w:color w:val="auto"/>
        </w:rPr>
        <w:t>THOR: LOVE AND THUNDER</w:t>
      </w:r>
      <w:r>
        <w:rPr>
          <w:rFonts w:ascii="Times New Roman" w:cs="Times New Roman" w:eastAsia="Times New Roman" w:hAnsi="Times New Roman"/>
          <w:sz w:val="18"/>
          <w:szCs w:val="18"/>
          <w:color w:val="auto"/>
        </w:rPr>
        <w:t xml:space="preserve">, in July 2022, the May 2022 release of </w:t>
      </w:r>
      <w:r>
        <w:rPr>
          <w:rFonts w:ascii="Times New Roman" w:cs="Times New Roman" w:eastAsia="Times New Roman" w:hAnsi="Times New Roman"/>
          <w:sz w:val="18"/>
          <w:szCs w:val="18"/>
          <w:i w:val="1"/>
          <w:iCs w:val="1"/>
          <w:color w:val="auto"/>
        </w:rPr>
        <w:t>DOCTOR STRANGE in the MULTIVERSE of MADNESS</w:t>
      </w:r>
      <w:r>
        <w:rPr>
          <w:rFonts w:ascii="Times New Roman" w:cs="Times New Roman" w:eastAsia="Times New Roman" w:hAnsi="Times New Roman"/>
          <w:sz w:val="18"/>
          <w:szCs w:val="18"/>
          <w:color w:val="auto"/>
        </w:rPr>
        <w:t xml:space="preserve"> and from sales of the Company's products for BLACK PANTHER, ahead of the release of </w:t>
      </w:r>
      <w:r>
        <w:rPr>
          <w:rFonts w:ascii="Times New Roman" w:cs="Times New Roman" w:eastAsia="Times New Roman" w:hAnsi="Times New Roman"/>
          <w:sz w:val="18"/>
          <w:szCs w:val="18"/>
          <w:i w:val="1"/>
          <w:iCs w:val="1"/>
          <w:color w:val="auto"/>
        </w:rPr>
        <w:t>BLACK PANTHER: WAKANDA FOREVER</w:t>
      </w:r>
      <w:r>
        <w:rPr>
          <w:rFonts w:ascii="Times New Roman" w:cs="Times New Roman" w:eastAsia="Times New Roman" w:hAnsi="Times New Roman"/>
          <w:sz w:val="18"/>
          <w:szCs w:val="18"/>
          <w:color w:val="auto"/>
        </w:rPr>
        <w:t xml:space="preserve">, expected in November 2022. To a lesser extent, net revenues from the Company's line of STAR WARS products increased as a result of the lineup of new entertainment from Lucasfilms including </w:t>
      </w:r>
      <w:r>
        <w:rPr>
          <w:rFonts w:ascii="Times New Roman" w:cs="Times New Roman" w:eastAsia="Times New Roman" w:hAnsi="Times New Roman"/>
          <w:sz w:val="18"/>
          <w:szCs w:val="18"/>
          <w:i w:val="1"/>
          <w:iCs w:val="1"/>
          <w:color w:val="auto"/>
        </w:rPr>
        <w:t>THE BOOK of BOBA FETT</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STAR WARS</w:t>
      </w:r>
      <w:r>
        <w:rPr>
          <w:rFonts w:ascii="Times New Roman" w:cs="Times New Roman" w:eastAsia="Times New Roman" w:hAnsi="Times New Roman"/>
          <w:sz w:val="18"/>
          <w:szCs w:val="18"/>
          <w:color w:val="auto"/>
        </w:rPr>
        <w:t xml:space="preserve"> series </w:t>
      </w:r>
      <w:r>
        <w:rPr>
          <w:rFonts w:ascii="Times New Roman" w:cs="Times New Roman" w:eastAsia="Times New Roman" w:hAnsi="Times New Roman"/>
          <w:sz w:val="18"/>
          <w:szCs w:val="18"/>
          <w:i w:val="1"/>
          <w:iCs w:val="1"/>
          <w:color w:val="auto"/>
        </w:rPr>
        <w:t>OBI-WAN KENOBI</w:t>
      </w:r>
      <w:r>
        <w:rPr>
          <w:rFonts w:ascii="Times New Roman" w:cs="Times New Roman" w:eastAsia="Times New Roman" w:hAnsi="Times New Roman"/>
          <w:sz w:val="18"/>
          <w:szCs w:val="18"/>
          <w:color w:val="auto"/>
        </w:rPr>
        <w:t>, both streaming on Disney+. In addition, Partner Brands net revenues benefited from the introduction of the Company's line of FORTNITE action figures during the first nine months of 2022. These increases were partially offset by net revenue declines from the Company's products for DISNEY FROZEN and DISNEY PRINCESS as well as net revenue declines from BEYBLADE, and to a lesser extent, GHOSTBUSTERS and TROLLS products during the first nine months of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542290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7" w:right="359" w:bottom="1440" w:gutter="0" w:footer="0" w:header="0"/>
        </w:sectPr>
      </w:pPr>
    </w:p>
    <w:bookmarkStart w:id="35" w:name="page36"/>
    <w:bookmarkEnd w:id="35"/>
    <w:p>
      <w:pPr>
        <w:ind w:right="10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HASBRO GAMING: </w:t>
      </w:r>
      <w:r>
        <w:rPr>
          <w:rFonts w:ascii="Times New Roman" w:cs="Times New Roman" w:eastAsia="Times New Roman" w:hAnsi="Times New Roman"/>
          <w:sz w:val="18"/>
          <w:szCs w:val="18"/>
          <w:color w:val="auto"/>
        </w:rPr>
        <w:t>Net revenues in the Hasbro Gaming portfolio decreased 15% in the first nine months of 2022 compared to the first nine months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2021 driven primarily by lower net revenues from the </w:t>
      </w:r>
      <w:r>
        <w:rPr>
          <w:rFonts w:ascii="Times New Roman" w:cs="Times New Roman" w:eastAsia="Times New Roman" w:hAnsi="Times New Roman"/>
          <w:sz w:val="18"/>
          <w:szCs w:val="18"/>
          <w:i w:val="1"/>
          <w:iCs w:val="1"/>
          <w:color w:val="auto"/>
        </w:rPr>
        <w:t>Dungeons &amp; Dragons: Dark Alliance</w:t>
      </w:r>
      <w:r>
        <w:rPr>
          <w:rFonts w:ascii="Times New Roman" w:cs="Times New Roman" w:eastAsia="Times New Roman" w:hAnsi="Times New Roman"/>
          <w:sz w:val="18"/>
          <w:szCs w:val="18"/>
          <w:color w:val="auto"/>
        </w:rPr>
        <w:t xml:space="preserve"> digital game launched during the second quarter 2021 with no comparable release in 2022, as well as lower net revenues from JENGA, LIFE and certain other Hasbro Gaming products. These decreases were partially offset by higher net revenues from AVALON HILL'S HeroQuest products during the first nine months of 2022.</w:t>
      </w:r>
    </w:p>
    <w:p>
      <w:pPr>
        <w:spacing w:after="0" w:line="7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Net revenues for Hasbro’s total gaming category, including the Hasbro Gaming portfolio as reported above and all other gaming revenue, most notably from MAGIC: THE GATHERING and MONOPOLY products, which are included in the Franchise Brands portfolio, were $1,415.7 million, a decrease of 8%, in the first nine months of 2022 versus $1,543.3 million in the first nine months of 2021.</w:t>
      </w:r>
    </w:p>
    <w:p>
      <w:pPr>
        <w:spacing w:after="0" w:line="147"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i w:val="1"/>
          <w:iCs w:val="1"/>
          <w:color w:val="auto"/>
        </w:rPr>
        <w:t xml:space="preserve">EMERGING BRANDS: </w:t>
      </w:r>
      <w:r>
        <w:rPr>
          <w:rFonts w:ascii="Times New Roman" w:cs="Times New Roman" w:eastAsia="Times New Roman" w:hAnsi="Times New Roman"/>
          <w:sz w:val="18"/>
          <w:szCs w:val="18"/>
          <w:color w:val="auto"/>
        </w:rPr>
        <w:t>Net revenues from the Emerging Brands portfolio declined 2% for the first nine months of 2022 compared to the first nine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2021. Net revenue declines during the first nine months of 2022 were driven by lower sales of GI JOE products and to a lesser extent, core PLAYSKOOL and PJ MASKS products, partially offset by higher net revenues from POWER RANGERS products.</w:t>
      </w:r>
    </w:p>
    <w:p>
      <w:pPr>
        <w:spacing w:after="0" w:line="19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TV/FILM/ENTERTAINMENT: </w:t>
      </w:r>
      <w:r>
        <w:rPr>
          <w:rFonts w:ascii="Times New Roman" w:cs="Times New Roman" w:eastAsia="Times New Roman" w:hAnsi="Times New Roman"/>
          <w:sz w:val="18"/>
          <w:szCs w:val="18"/>
          <w:color w:val="auto"/>
        </w:rPr>
        <w:t>Net revenues from the TV/Film/Entertainment portfolio decreased 19% for the first nine months of 2022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first nine months of 2021. Lower net revenues in 2022 were driven by the sale of eOne Music in the first nine months of 2021, which represented $65.2 million or 10% of TV, Film and Entertainment portfolio net revenues during the first nine months of 2021. In the first nine months of 2022, net revenue declines were driven by lower film deliveries compared to the third quarter of 2021, as well as lower scripted television deliveries, primarily due to timing of deliveries during the first nine months of 2022. These decreases were partially offset by higher net revenues from unscripted television as a result of increased television production in North America and the U.K. compared to the first nine months of 2021, where deliveries were limited or delayed due to the impact of the COVID-19 pandemic.</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SEGMENT RESULTS</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Beginning in 2022, intangible amortization costs related to the intangible assets acquired in the eOne Acquisition have been allocated between the Consumer Products and Entertainment segments to match the revenue generated from such intangible assets. In 2021, comparable intangible amortization costs were recorded within the Entertainment segment.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 Quarter 2022</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net external revenues and operating profit (loss) for the Company's principal segments for the quarters ended September 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 and September 26, 2021: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16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ind w:left="60"/>
              <w:spacing w:after="0" w:line="169" w:lineRule="exact"/>
              <w:rPr>
                <w:sz w:val="20"/>
                <w:szCs w:val="20"/>
                <w:color w:val="auto"/>
              </w:rPr>
            </w:pPr>
            <w:r>
              <w:rPr>
                <w:rFonts w:ascii="Times New Roman" w:cs="Times New Roman" w:eastAsia="Times New Roman" w:hAnsi="Times New Roman"/>
                <w:sz w:val="18"/>
                <w:szCs w:val="18"/>
                <w:b w:val="1"/>
                <w:bCs w:val="1"/>
                <w:color w:val="auto"/>
              </w:rPr>
              <w:t>September 25,</w:t>
            </w:r>
          </w:p>
        </w:tc>
        <w:tc>
          <w:tcPr>
            <w:tcW w:w="160" w:type="dxa"/>
            <w:vAlign w:val="bottom"/>
          </w:tcPr>
          <w:p>
            <w:pPr>
              <w:spacing w:after="0"/>
              <w:rPr>
                <w:sz w:val="14"/>
                <w:szCs w:val="14"/>
                <w:color w:val="auto"/>
              </w:rPr>
            </w:pPr>
          </w:p>
        </w:tc>
        <w:tc>
          <w:tcPr>
            <w:tcW w:w="1460" w:type="dxa"/>
            <w:vAlign w:val="bottom"/>
            <w:gridSpan w:val="2"/>
          </w:tcPr>
          <w:p>
            <w:pPr>
              <w:ind w:left="60"/>
              <w:spacing w:after="0" w:line="169" w:lineRule="exact"/>
              <w:rPr>
                <w:sz w:val="20"/>
                <w:szCs w:val="20"/>
                <w:color w:val="auto"/>
              </w:rPr>
            </w:pPr>
            <w:r>
              <w:rPr>
                <w:rFonts w:ascii="Times New Roman" w:cs="Times New Roman" w:eastAsia="Times New Roman" w:hAnsi="Times New Roman"/>
                <w:sz w:val="18"/>
                <w:szCs w:val="18"/>
                <w:b w:val="1"/>
                <w:bCs w:val="1"/>
                <w:color w:val="auto"/>
              </w:rPr>
              <w:t>September 26,</w:t>
            </w:r>
          </w:p>
        </w:tc>
        <w:tc>
          <w:tcPr>
            <w:tcW w:w="1660" w:type="dxa"/>
            <w:vAlign w:val="bottom"/>
          </w:tcPr>
          <w:p>
            <w:pPr>
              <w:jc w:val="right"/>
              <w:ind w:right="650"/>
              <w:spacing w:after="0" w:line="169" w:lineRule="exact"/>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14"/>
                <w:szCs w:val="14"/>
                <w:color w:val="auto"/>
              </w:rPr>
            </w:pPr>
          </w:p>
        </w:tc>
      </w:tr>
      <w:tr>
        <w:trPr>
          <w:trHeight w:val="241"/>
        </w:trPr>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172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192"/>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960" w:type="dxa"/>
            <w:vAlign w:val="bottom"/>
            <w:tcBorders>
              <w:top w:val="single" w:sz="8" w:color="CCEEFF"/>
              <w:bottom w:val="single" w:sz="8" w:color="auto"/>
            </w:tcBorders>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w w:val="99"/>
              </w:rPr>
              <w:t>Net revenues</w:t>
            </w:r>
          </w:p>
        </w:tc>
        <w:tc>
          <w:tcPr>
            <w:tcW w:w="530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13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13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60" w:type="dxa"/>
            <w:vAlign w:val="bottom"/>
            <w:tcBorders>
              <w:top w:val="single" w:sz="8" w:color="auto"/>
              <w:bottom w:val="single" w:sz="8" w:color="CCEEFF"/>
            </w:tcBorders>
            <w:shd w:val="clear" w:color="auto" w:fill="CCEEFF"/>
          </w:tcPr>
          <w:p>
            <w:pPr>
              <w:spacing w:after="0"/>
              <w:rPr>
                <w:sz w:val="16"/>
                <w:szCs w:val="16"/>
                <w:color w:val="auto"/>
              </w:rPr>
            </w:pPr>
          </w:p>
        </w:tc>
        <w:tc>
          <w:tcPr>
            <w:tcW w:w="60" w:type="dxa"/>
            <w:vAlign w:val="bottom"/>
          </w:tcPr>
          <w:p>
            <w:pPr>
              <w:spacing w:after="0"/>
              <w:rPr>
                <w:sz w:val="16"/>
                <w:szCs w:val="16"/>
                <w:color w:val="auto"/>
              </w:rPr>
            </w:pPr>
          </w:p>
        </w:tc>
      </w:tr>
      <w:tr>
        <w:trPr>
          <w:trHeight w:val="230"/>
        </w:trPr>
        <w:tc>
          <w:tcPr>
            <w:tcW w:w="20" w:type="dxa"/>
            <w:vAlign w:val="bottom"/>
          </w:tcPr>
          <w:p>
            <w:pPr>
              <w:spacing w:after="0"/>
              <w:rPr>
                <w:sz w:val="19"/>
                <w:szCs w:val="19"/>
                <w:color w:val="auto"/>
              </w:rPr>
            </w:pPr>
          </w:p>
        </w:tc>
        <w:tc>
          <w:tcPr>
            <w:tcW w:w="6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Consumer Products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1,282.7</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6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6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Wizards of the Coast and Digital Gaming</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360.2</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6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Entertainment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327.1</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60" w:type="dxa"/>
            <w:vAlign w:val="bottom"/>
          </w:tcPr>
          <w:p>
            <w:pPr>
              <w:spacing w:after="0"/>
              <w:rPr>
                <w:sz w:val="19"/>
                <w:szCs w:val="19"/>
                <w:color w:val="auto"/>
              </w:rPr>
            </w:pPr>
          </w:p>
        </w:tc>
      </w:tr>
      <w:tr>
        <w:trPr>
          <w:trHeight w:val="216"/>
        </w:trPr>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62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Operating Profit (Loss)</w:t>
            </w: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Consumer Products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6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Wizards of the Coast and Digital Gaming</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6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6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Entertainment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&gt;-100%</w:t>
            </w:r>
          </w:p>
        </w:tc>
        <w:tc>
          <w:tcPr>
            <w:tcW w:w="6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6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60" w:type="dxa"/>
            <w:vAlign w:val="bottom"/>
          </w:tcPr>
          <w:p>
            <w:pPr>
              <w:spacing w:after="0"/>
              <w:rPr>
                <w:sz w:val="20"/>
                <w:szCs w:val="20"/>
                <w:color w:val="auto"/>
              </w:rPr>
            </w:pPr>
          </w:p>
        </w:tc>
      </w:tr>
      <w:tr>
        <w:trPr>
          <w:trHeight w:val="961"/>
        </w:trPr>
        <w:tc>
          <w:tcPr>
            <w:tcW w:w="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5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i w:val="1"/>
          <w:iCs w:val="1"/>
          <w:color w:val="auto"/>
        </w:rPr>
        <w:t>Consumer Products Segment</w:t>
      </w:r>
    </w:p>
    <w:p>
      <w:pPr>
        <w:spacing w:after="0" w:line="11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Consumer Products segment net revenues by major geographic region for the quarters ended September 25, 2022 and September 26, 2021.</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4"/>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Quarter Ended</w:t>
            </w:r>
          </w:p>
        </w:tc>
      </w:tr>
      <w:tr>
        <w:trPr>
          <w:trHeight w:val="169"/>
        </w:trPr>
        <w:tc>
          <w:tcPr>
            <w:tcW w:w="8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ind w:left="60"/>
              <w:spacing w:after="0" w:line="169" w:lineRule="exact"/>
              <w:rPr>
                <w:sz w:val="20"/>
                <w:szCs w:val="20"/>
                <w:color w:val="auto"/>
              </w:rPr>
            </w:pPr>
            <w:r>
              <w:rPr>
                <w:rFonts w:ascii="Times New Roman" w:cs="Times New Roman" w:eastAsia="Times New Roman" w:hAnsi="Times New Roman"/>
                <w:sz w:val="18"/>
                <w:szCs w:val="18"/>
                <w:b w:val="1"/>
                <w:bCs w:val="1"/>
                <w:color w:val="auto"/>
              </w:rPr>
              <w:t>September 25,</w:t>
            </w:r>
          </w:p>
        </w:tc>
        <w:tc>
          <w:tcPr>
            <w:tcW w:w="160" w:type="dxa"/>
            <w:vAlign w:val="bottom"/>
          </w:tcPr>
          <w:p>
            <w:pPr>
              <w:spacing w:after="0"/>
              <w:rPr>
                <w:sz w:val="14"/>
                <w:szCs w:val="14"/>
                <w:color w:val="auto"/>
              </w:rPr>
            </w:pPr>
          </w:p>
        </w:tc>
        <w:tc>
          <w:tcPr>
            <w:tcW w:w="1360" w:type="dxa"/>
            <w:vAlign w:val="bottom"/>
          </w:tcPr>
          <w:p>
            <w:pPr>
              <w:jc w:val="right"/>
              <w:ind w:right="130"/>
              <w:spacing w:after="0" w:line="169" w:lineRule="exact"/>
              <w:rPr>
                <w:sz w:val="20"/>
                <w:szCs w:val="20"/>
                <w:color w:val="auto"/>
              </w:rPr>
            </w:pPr>
            <w:r>
              <w:rPr>
                <w:rFonts w:ascii="Times New Roman" w:cs="Times New Roman" w:eastAsia="Times New Roman" w:hAnsi="Times New Roman"/>
                <w:sz w:val="18"/>
                <w:szCs w:val="18"/>
                <w:b w:val="1"/>
                <w:bCs w:val="1"/>
                <w:color w:val="auto"/>
              </w:rPr>
              <w:t>September 26,</w:t>
            </w:r>
          </w:p>
        </w:tc>
      </w:tr>
      <w:tr>
        <w:trPr>
          <w:trHeight w:val="241"/>
        </w:trPr>
        <w:tc>
          <w:tcPr>
            <w:tcW w:w="80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5"/>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805.0</w:t>
            </w: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304.2</w:t>
            </w: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r>
      <w:tr>
        <w:trPr>
          <w:trHeight w:val="230"/>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Latin America</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w:t>
            </w:r>
          </w:p>
        </w:tc>
      </w:tr>
      <w:tr>
        <w:trPr>
          <w:trHeight w:val="248"/>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1,282.7</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Consumer Products segment net revenues declined 10% to $1,160.8 million for the third quarter of 2022 compared to $1,282.7 million for the third quarter of 2021 and included the impact of an unfavorable $40.0 million currency translation, most notably from the Company's European markets, and to a lesser extent, the Company's Asia Pacific and Latin American markets. Absent the impact of foreign currency exchange, Consumer Products segment net revenues declined $81.9 million or 6% during the third quarter of 2022.</w:t>
      </w:r>
    </w:p>
    <w:p>
      <w:pPr>
        <w:spacing w:after="0" w:line="7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Drivers of the net revenue decrease include lower sales of Hasbro Gaming products, primarily from the Company's tabletop gaming brands such as JENGA, LIFE, OPERATION and certain other Hasbro Gaming brands, lower sales of NERF and MONOPOLY products, and lower sales of the Company's products for BEYBLADE, DISNEY PRINCESS and DISNEY FROZEN. These net revenue decreases were partially offset by higher sales of PEPPA PIG and PLAY-DOH products, and higher sales of the Company's products for STAR WARS and MARVEL. Overall segment net revenue declines were primarily attributable to North America and to a lesser extent, the Company's European markets during the third quarter of 2022.</w:t>
      </w:r>
    </w:p>
    <w:p>
      <w:pPr>
        <w:spacing w:after="0" w:line="75"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8"/>
          <w:szCs w:val="18"/>
          <w:color w:val="auto"/>
        </w:rPr>
        <w:t>Consumer Products segment operating profit for the third quarter of 2022 was $136.8 million or 11.8% of segment net revenues, compared to segment operating profit of $210.4 million or 16.4% of segment net revenues, for the third quarter of 2021. As noted above, to align with the revenue generated from the assets acquired in the eOne Acquisition, Consumer Products segment operating profit in the third quarter of 2022 includes $9.0 million of intangible asset amortization costs. In 2021, the comparable costs were reported in the Entertainment segment results. The remaining operating profit decrease in the third quarter of 2022 was driven by lower net revenues and higher sales allowances and obsolescence charges, as well as higher levels of closeout sales. These negative impacts were partially offset by price increases implemented during the second half of 2021 and the first nine months of 2022 combined with lower advertising and promotion expense.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Wizards of the Coast and Digital Gaming Segment</w:t>
      </w:r>
    </w:p>
    <w:p>
      <w:pPr>
        <w:spacing w:after="0" w:line="11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following table presents Wizards of the Coast and Digital Gaming segment net revenues by category for the quarters ended September 25, 2022 and September 26, 2021.</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4"/>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Quarter Ended</w:t>
            </w:r>
          </w:p>
        </w:tc>
      </w:tr>
      <w:tr>
        <w:trPr>
          <w:trHeight w:val="169"/>
        </w:trPr>
        <w:tc>
          <w:tcPr>
            <w:tcW w:w="8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ind w:left="60"/>
              <w:spacing w:after="0" w:line="169" w:lineRule="exact"/>
              <w:rPr>
                <w:sz w:val="20"/>
                <w:szCs w:val="20"/>
                <w:color w:val="auto"/>
              </w:rPr>
            </w:pPr>
            <w:r>
              <w:rPr>
                <w:rFonts w:ascii="Times New Roman" w:cs="Times New Roman" w:eastAsia="Times New Roman" w:hAnsi="Times New Roman"/>
                <w:sz w:val="18"/>
                <w:szCs w:val="18"/>
                <w:b w:val="1"/>
                <w:bCs w:val="1"/>
                <w:color w:val="auto"/>
              </w:rPr>
              <w:t>September 25,</w:t>
            </w:r>
          </w:p>
        </w:tc>
        <w:tc>
          <w:tcPr>
            <w:tcW w:w="160" w:type="dxa"/>
            <w:vAlign w:val="bottom"/>
          </w:tcPr>
          <w:p>
            <w:pPr>
              <w:spacing w:after="0"/>
              <w:rPr>
                <w:sz w:val="14"/>
                <w:szCs w:val="14"/>
                <w:color w:val="auto"/>
              </w:rPr>
            </w:pPr>
          </w:p>
        </w:tc>
        <w:tc>
          <w:tcPr>
            <w:tcW w:w="1360" w:type="dxa"/>
            <w:vAlign w:val="bottom"/>
          </w:tcPr>
          <w:p>
            <w:pPr>
              <w:jc w:val="right"/>
              <w:ind w:right="130"/>
              <w:spacing w:after="0" w:line="169" w:lineRule="exact"/>
              <w:rPr>
                <w:sz w:val="20"/>
                <w:szCs w:val="20"/>
                <w:color w:val="auto"/>
              </w:rPr>
            </w:pPr>
            <w:r>
              <w:rPr>
                <w:rFonts w:ascii="Times New Roman" w:cs="Times New Roman" w:eastAsia="Times New Roman" w:hAnsi="Times New Roman"/>
                <w:sz w:val="18"/>
                <w:szCs w:val="18"/>
                <w:b w:val="1"/>
                <w:bCs w:val="1"/>
                <w:color w:val="auto"/>
              </w:rPr>
              <w:t>September 26,</w:t>
            </w:r>
          </w:p>
        </w:tc>
      </w:tr>
      <w:tr>
        <w:trPr>
          <w:trHeight w:val="241"/>
        </w:trPr>
        <w:tc>
          <w:tcPr>
            <w:tcW w:w="80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5"/>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Tabletop Gaming</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269.4</w:t>
            </w:r>
          </w:p>
        </w:tc>
      </w:tr>
      <w:tr>
        <w:trPr>
          <w:trHeight w:val="230"/>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Digital and Licensed Gaming</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w:t>
            </w:r>
          </w:p>
        </w:tc>
      </w:tr>
      <w:tr>
        <w:trPr>
          <w:trHeight w:val="248"/>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360.2</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Wizards of the Coast and Digital Gaming segment net revenues declined 16% in the third quarter of 2022 to $303.5 million from $360.2 million in the third quarter of 2021 and included the impact of an unfavorable $8.7 million foreign currency translation. Absent the impact of foreign currency exchange, Wizards of the Coast and Digital Gaming segment net revenues declined $48.0 million or 13% during the third quarter of 2022.</w:t>
      </w:r>
    </w:p>
    <w:p>
      <w:pPr>
        <w:spacing w:after="0" w:line="6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The net revenue decrease in the Wizards of the Coast and Digital Gaming segment during the third quarter of 2022 was attributable to lower net revenues from Wizards of the Coast tabletop gaming products, most notably, MAGIC: THE GATHERING, driven by release timing compared to the third quarter of 2021, and lower digital and licensed gaming net revenues, primarily from </w:t>
      </w:r>
      <w:r>
        <w:rPr>
          <w:rFonts w:ascii="Times New Roman" w:cs="Times New Roman" w:eastAsia="Times New Roman" w:hAnsi="Times New Roman"/>
          <w:sz w:val="18"/>
          <w:szCs w:val="18"/>
          <w:i w:val="1"/>
          <w:iCs w:val="1"/>
          <w:color w:val="auto"/>
        </w:rPr>
        <w:t>Magic: The Gathering Arena</w:t>
      </w:r>
      <w:r>
        <w:rPr>
          <w:rFonts w:ascii="Times New Roman" w:cs="Times New Roman" w:eastAsia="Times New Roman" w:hAnsi="Times New Roman"/>
          <w:sz w:val="18"/>
          <w:szCs w:val="18"/>
          <w:color w:val="auto"/>
        </w:rPr>
        <w:t xml:space="preserve"> and from </w:t>
      </w:r>
      <w:r>
        <w:rPr>
          <w:rFonts w:ascii="Times New Roman" w:cs="Times New Roman" w:eastAsia="Times New Roman" w:hAnsi="Times New Roman"/>
          <w:sz w:val="18"/>
          <w:szCs w:val="18"/>
          <w:i w:val="1"/>
          <w:iCs w:val="1"/>
          <w:color w:val="auto"/>
        </w:rPr>
        <w:t>Dungeons &amp; Dragons: Dark Alliance</w:t>
      </w:r>
      <w:r>
        <w:rPr>
          <w:rFonts w:ascii="Times New Roman" w:cs="Times New Roman" w:eastAsia="Times New Roman" w:hAnsi="Times New Roman"/>
          <w:sz w:val="18"/>
          <w:szCs w:val="18"/>
          <w:color w:val="auto"/>
        </w:rPr>
        <w:t>, launched during the first half of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532765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37" w:name="page38"/>
    <w:bookmarkEnd w:id="37"/>
    <w:p>
      <w:pPr>
        <w:ind w:right="240"/>
        <w:spacing w:after="0" w:line="256" w:lineRule="auto"/>
        <w:rPr>
          <w:sz w:val="20"/>
          <w:szCs w:val="20"/>
          <w:color w:val="auto"/>
        </w:rPr>
      </w:pPr>
      <w:r>
        <w:rPr>
          <w:rFonts w:ascii="Times New Roman" w:cs="Times New Roman" w:eastAsia="Times New Roman" w:hAnsi="Times New Roman"/>
          <w:sz w:val="18"/>
          <w:szCs w:val="18"/>
          <w:color w:val="auto"/>
        </w:rPr>
        <w:t xml:space="preserve">Wizards of the Coast and Digital Gaming segment operating profit was $102.2 million, or 33.7% of segment net revenues for the third quarter of 2022, compared to operating profit of $159.4 million, or 44.3% of segment net revenues, for the third quarter of 2021. The operating profit decrease during the third quarter of 2022 was the result of lower sales combined with higher product development costs as we continue to invest in digital gaming initiatives and talent to support long-term growth within the segment, as well as higher royalty expenses related to the release of </w:t>
      </w:r>
      <w:r>
        <w:rPr>
          <w:rFonts w:ascii="Times New Roman" w:cs="Times New Roman" w:eastAsia="Times New Roman" w:hAnsi="Times New Roman"/>
          <w:sz w:val="18"/>
          <w:szCs w:val="18"/>
          <w:i w:val="1"/>
          <w:iCs w:val="1"/>
          <w:color w:val="auto"/>
        </w:rPr>
        <w:t>Magic: The Gathering Universes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Beyond: Warhammer 40,000, </w:t>
      </w:r>
      <w:r>
        <w:rPr>
          <w:rFonts w:ascii="Times New Roman" w:cs="Times New Roman" w:eastAsia="Times New Roman" w:hAnsi="Times New Roman"/>
          <w:sz w:val="18"/>
          <w:szCs w:val="18"/>
          <w:color w:val="auto"/>
        </w:rPr>
        <w:t>and higher intangible asset amortization expense related to the acquisition of D&amp;D Beyond. These cost increases were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partially offset by lower depreciation expenses and reduced advertising and promotion costs during the third quarter of 2022.</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Entertainment Segment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Entertainment segment net revenues by category for the quarters ended September 25, 2022 and September 26, 2021.</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4"/>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Quarter Ended</w:t>
            </w:r>
          </w:p>
        </w:tc>
      </w:tr>
      <w:tr>
        <w:trPr>
          <w:trHeight w:val="169"/>
        </w:trPr>
        <w:tc>
          <w:tcPr>
            <w:tcW w:w="8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ind w:left="60"/>
              <w:spacing w:after="0" w:line="169" w:lineRule="exact"/>
              <w:rPr>
                <w:sz w:val="20"/>
                <w:szCs w:val="20"/>
                <w:color w:val="auto"/>
              </w:rPr>
            </w:pPr>
            <w:r>
              <w:rPr>
                <w:rFonts w:ascii="Times New Roman" w:cs="Times New Roman" w:eastAsia="Times New Roman" w:hAnsi="Times New Roman"/>
                <w:sz w:val="18"/>
                <w:szCs w:val="18"/>
                <w:b w:val="1"/>
                <w:bCs w:val="1"/>
                <w:color w:val="auto"/>
              </w:rPr>
              <w:t>September 25,</w:t>
            </w:r>
          </w:p>
        </w:tc>
        <w:tc>
          <w:tcPr>
            <w:tcW w:w="160" w:type="dxa"/>
            <w:vAlign w:val="bottom"/>
          </w:tcPr>
          <w:p>
            <w:pPr>
              <w:spacing w:after="0"/>
              <w:rPr>
                <w:sz w:val="14"/>
                <w:szCs w:val="14"/>
                <w:color w:val="auto"/>
              </w:rPr>
            </w:pPr>
          </w:p>
        </w:tc>
        <w:tc>
          <w:tcPr>
            <w:tcW w:w="1360" w:type="dxa"/>
            <w:vAlign w:val="bottom"/>
          </w:tcPr>
          <w:p>
            <w:pPr>
              <w:jc w:val="right"/>
              <w:ind w:right="130"/>
              <w:spacing w:after="0" w:line="169" w:lineRule="exact"/>
              <w:rPr>
                <w:sz w:val="20"/>
                <w:szCs w:val="20"/>
                <w:color w:val="auto"/>
              </w:rPr>
            </w:pPr>
            <w:r>
              <w:rPr>
                <w:rFonts w:ascii="Times New Roman" w:cs="Times New Roman" w:eastAsia="Times New Roman" w:hAnsi="Times New Roman"/>
                <w:sz w:val="18"/>
                <w:szCs w:val="18"/>
                <w:b w:val="1"/>
                <w:bCs w:val="1"/>
                <w:color w:val="auto"/>
              </w:rPr>
              <w:t>September 26,</w:t>
            </w:r>
          </w:p>
        </w:tc>
      </w:tr>
      <w:tr>
        <w:trPr>
          <w:trHeight w:val="241"/>
        </w:trPr>
        <w:tc>
          <w:tcPr>
            <w:tcW w:w="80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5"/>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Film and TV</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w:t>
            </w: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Family Brands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Music and Other</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2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327.1</w:t>
            </w:r>
          </w:p>
        </w:tc>
      </w:tr>
      <w:tr>
        <w:trPr>
          <w:trHeight w:val="21"/>
        </w:trPr>
        <w:tc>
          <w:tcPr>
            <w:tcW w:w="8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Entertainment segment net revenues declined 35% to $211.6 million for the third quarter of 2022, compared to $327.1 million for the third quarter of 2021 and included the impact of an unfavorable $5.0 million foreign currency translation. Absent the impact of foreign currency exchange, Entertainment segment net revenues declined $110.5 million or 34% during the third quarter of 2022.</w:t>
      </w:r>
    </w:p>
    <w:p>
      <w:pPr>
        <w:spacing w:after="0" w:line="6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The net revenue decrease during the third quarter of 2022 was primarily the result of lower film deliveries compared to the third quarter of 2021, which included films such as </w:t>
      </w:r>
      <w:r>
        <w:rPr>
          <w:rFonts w:ascii="Times New Roman" w:cs="Times New Roman" w:eastAsia="Times New Roman" w:hAnsi="Times New Roman"/>
          <w:sz w:val="18"/>
          <w:szCs w:val="18"/>
          <w:i w:val="1"/>
          <w:iCs w:val="1"/>
          <w:color w:val="auto"/>
        </w:rPr>
        <w:t>Come From Away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Finch,</w:t>
      </w:r>
      <w:r>
        <w:rPr>
          <w:rFonts w:ascii="Times New Roman" w:cs="Times New Roman" w:eastAsia="Times New Roman" w:hAnsi="Times New Roman"/>
          <w:sz w:val="18"/>
          <w:szCs w:val="18"/>
          <w:color w:val="auto"/>
        </w:rPr>
        <w:t xml:space="preserve"> with no comparable film deliveries during the third quarter of 2022, and lower net revenues from streaming content sales compared to the third quarter of 2021 which benefited from the September 2021 release of </w:t>
      </w:r>
      <w:r>
        <w:rPr>
          <w:rFonts w:ascii="Times New Roman" w:cs="Times New Roman" w:eastAsia="Times New Roman" w:hAnsi="Times New Roman"/>
          <w:sz w:val="18"/>
          <w:szCs w:val="18"/>
          <w:i w:val="1"/>
          <w:iCs w:val="1"/>
          <w:color w:val="auto"/>
        </w:rPr>
        <w:t>MY LITTLE PONY: A NEW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GENERATION. </w:t>
      </w:r>
      <w:r>
        <w:rPr>
          <w:rFonts w:ascii="Times New Roman" w:cs="Times New Roman" w:eastAsia="Times New Roman" w:hAnsi="Times New Roman"/>
          <w:sz w:val="18"/>
          <w:szCs w:val="18"/>
          <w:color w:val="auto"/>
        </w:rPr>
        <w:t>Additionally, lower transactional and licensing net revenues on acquired films, and lower net revenues from unscripted television deliveries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third quarter of 2021 contributed to the decline.</w:t>
      </w:r>
    </w:p>
    <w:p>
      <w:pPr>
        <w:spacing w:after="0" w:line="7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Entertainment segment operating losses were $28.9 million, or 13.7% of segment net revenues for the third quarter of 2022 compared to operating profit of $22.4 million, or 6.8% of segment net revenues for the third quarter of 2021.</w:t>
      </w:r>
    </w:p>
    <w:p>
      <w:pPr>
        <w:spacing w:after="0" w:line="54"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decrease in Entertainment segment operating results during the third quarter of 2022 primarily reflect lower net revenues driven by the mix of programming delivered, as well as the loss on assets held for sale of $23.1 million and asset impairment charges of $3.7 million, recorded during the third quarter of 2022 related to the exit of certain non-core businesses within the Entertainment segment as part of the Company's strategic review. In addition, Entertainment segment operating results reflect the allocation of $9.0 million of intangible asset amortization costs to the Consumer Products segment in 2022, as described above. These impacts to operating results were partially offset by lower advertising and administrative costs and lower royalty expense during the third quarter of 2022.</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and Other Segment</w:t>
      </w:r>
    </w:p>
    <w:p>
      <w:pPr>
        <w:spacing w:after="0" w:line="11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Corporate and Other segment operating losses were $15.8 million for the third quarter of 2022 compared to operating losses of $24.3 million for the third quarter of 2021. The improvement in operating results in the third quarter of 2022 was primarily the result of lower administrative expenses and lower advertising costs, offset by severance and other employee charges and consultant fees associated with Company's strategic review and related cost-savings initiatives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532765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i w:val="1"/>
          <w:iCs w:val="1"/>
          <w:color w:val="auto"/>
        </w:rPr>
        <w:t>First Nine Months 2022</w:t>
      </w:r>
    </w:p>
    <w:p>
      <w:pPr>
        <w:spacing w:after="0" w:line="202"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following table presents net revenues and operating profit (loss) for the Company's principal segments for each of the nine-month periods ended September 25, 2022 and September 26, 2021.</w:t>
      </w:r>
    </w:p>
    <w:p>
      <w:pPr>
        <w:spacing w:after="0" w:line="117"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1660" w:type="dxa"/>
            <w:vAlign w:val="bottom"/>
            <w:tcBorders>
              <w:bottom w:val="single" w:sz="8" w:color="auto"/>
            </w:tcBorders>
          </w:tcPr>
          <w:p>
            <w:pPr>
              <w:spacing w:after="0"/>
              <w:rPr>
                <w:sz w:val="20"/>
                <w:szCs w:val="20"/>
                <w:color w:val="auto"/>
              </w:rPr>
            </w:pPr>
          </w:p>
        </w:tc>
      </w:tr>
      <w:tr>
        <w:trPr>
          <w:trHeight w:val="174"/>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2"/>
          </w:tcPr>
          <w:p>
            <w:pPr>
              <w:ind w:left="60"/>
              <w:spacing w:after="0" w:line="174" w:lineRule="exact"/>
              <w:rPr>
                <w:sz w:val="20"/>
                <w:szCs w:val="20"/>
                <w:color w:val="auto"/>
              </w:rPr>
            </w:pPr>
            <w:r>
              <w:rPr>
                <w:rFonts w:ascii="Times New Roman" w:cs="Times New Roman" w:eastAsia="Times New Roman" w:hAnsi="Times New Roman"/>
                <w:sz w:val="18"/>
                <w:szCs w:val="18"/>
                <w:b w:val="1"/>
                <w:bCs w:val="1"/>
                <w:color w:val="auto"/>
              </w:rPr>
              <w:t>September 25,</w:t>
            </w:r>
          </w:p>
        </w:tc>
        <w:tc>
          <w:tcPr>
            <w:tcW w:w="140" w:type="dxa"/>
            <w:vAlign w:val="bottom"/>
          </w:tcPr>
          <w:p>
            <w:pPr>
              <w:spacing w:after="0"/>
              <w:rPr>
                <w:sz w:val="15"/>
                <w:szCs w:val="15"/>
                <w:color w:val="auto"/>
              </w:rPr>
            </w:pPr>
          </w:p>
        </w:tc>
        <w:tc>
          <w:tcPr>
            <w:tcW w:w="1480" w:type="dxa"/>
            <w:vAlign w:val="bottom"/>
            <w:gridSpan w:val="2"/>
          </w:tcPr>
          <w:p>
            <w:pPr>
              <w:ind w:left="60"/>
              <w:spacing w:after="0" w:line="174" w:lineRule="exact"/>
              <w:rPr>
                <w:sz w:val="20"/>
                <w:szCs w:val="20"/>
                <w:color w:val="auto"/>
              </w:rPr>
            </w:pPr>
            <w:r>
              <w:rPr>
                <w:rFonts w:ascii="Times New Roman" w:cs="Times New Roman" w:eastAsia="Times New Roman" w:hAnsi="Times New Roman"/>
                <w:sz w:val="18"/>
                <w:szCs w:val="18"/>
                <w:b w:val="1"/>
                <w:bCs w:val="1"/>
                <w:color w:val="auto"/>
              </w:rPr>
              <w:t>September 26,</w:t>
            </w:r>
          </w:p>
        </w:tc>
        <w:tc>
          <w:tcPr>
            <w:tcW w:w="1660" w:type="dxa"/>
            <w:vAlign w:val="bottom"/>
          </w:tcPr>
          <w:p>
            <w:pPr>
              <w:jc w:val="right"/>
              <w:ind w:right="650"/>
              <w:spacing w:after="0" w:line="174"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38"/>
        </w:trPr>
        <w:tc>
          <w:tcPr>
            <w:tcW w:w="20" w:type="dxa"/>
            <w:vAlign w:val="bottom"/>
            <w:tcBorders>
              <w:bottom w:val="single" w:sz="8" w:color="CCEEFF"/>
            </w:tcBorders>
          </w:tcPr>
          <w:p>
            <w:pPr>
              <w:spacing w:after="0"/>
              <w:rPr>
                <w:sz w:val="20"/>
                <w:szCs w:val="20"/>
                <w:color w:val="auto"/>
              </w:rPr>
            </w:pPr>
          </w:p>
        </w:tc>
        <w:tc>
          <w:tcPr>
            <w:tcW w:w="940" w:type="dxa"/>
            <w:vAlign w:val="bottom"/>
            <w:tcBorders>
              <w:bottom w:val="single" w:sz="8" w:color="CCEEFF"/>
            </w:tcBorders>
          </w:tcPr>
          <w:p>
            <w:pPr>
              <w:spacing w:after="0"/>
              <w:rPr>
                <w:sz w:val="20"/>
                <w:szCs w:val="20"/>
                <w:color w:val="auto"/>
              </w:rPr>
            </w:pPr>
          </w:p>
        </w:tc>
        <w:tc>
          <w:tcPr>
            <w:tcW w:w="740" w:type="dxa"/>
            <w:vAlign w:val="bottom"/>
            <w:tcBorders>
              <w:bottom w:val="single" w:sz="8" w:color="CCEEFF"/>
            </w:tcBorders>
          </w:tcPr>
          <w:p>
            <w:pPr>
              <w:spacing w:after="0"/>
              <w:rPr>
                <w:sz w:val="20"/>
                <w:szCs w:val="20"/>
                <w:color w:val="auto"/>
              </w:rPr>
            </w:pPr>
          </w:p>
        </w:tc>
        <w:tc>
          <w:tcPr>
            <w:tcW w:w="45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bottom w:val="single" w:sz="8" w:color="CCEEFF"/>
            </w:tcBorders>
          </w:tcPr>
          <w:p>
            <w:pPr>
              <w:spacing w:after="0"/>
              <w:rPr>
                <w:sz w:val="20"/>
                <w:szCs w:val="20"/>
                <w:color w:val="auto"/>
              </w:rPr>
            </w:pPr>
          </w:p>
        </w:tc>
        <w:tc>
          <w:tcPr>
            <w:tcW w:w="16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189"/>
        </w:trPr>
        <w:tc>
          <w:tcPr>
            <w:tcW w:w="2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w w:val="97"/>
              </w:rPr>
              <w:t>Net revenues</w:t>
            </w:r>
          </w:p>
        </w:tc>
        <w:tc>
          <w:tcPr>
            <w:tcW w:w="5320" w:type="dxa"/>
            <w:vAlign w:val="bottom"/>
            <w:tcBorders>
              <w:bottom w:val="single" w:sz="8" w:color="CCEEFF"/>
            </w:tcBorders>
            <w:gridSpan w:val="2"/>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60" w:type="dxa"/>
            <w:vAlign w:val="bottom"/>
            <w:tcBorders>
              <w:bottom w:val="single" w:sz="8" w:color="CCEEFF"/>
            </w:tcBorders>
            <w:shd w:val="clear" w:color="auto" w:fill="CCEEFF"/>
          </w:tcPr>
          <w:p>
            <w:pPr>
              <w:spacing w:after="0"/>
              <w:rPr>
                <w:sz w:val="16"/>
                <w:szCs w:val="16"/>
                <w:color w:val="auto"/>
              </w:rPr>
            </w:pPr>
          </w:p>
        </w:tc>
      </w:tr>
      <w:tr>
        <w:trPr>
          <w:trHeight w:val="229"/>
        </w:trPr>
        <w:tc>
          <w:tcPr>
            <w:tcW w:w="20" w:type="dxa"/>
            <w:vAlign w:val="bottom"/>
          </w:tcPr>
          <w:p>
            <w:pPr>
              <w:spacing w:after="0"/>
              <w:rPr>
                <w:sz w:val="19"/>
                <w:szCs w:val="19"/>
                <w:color w:val="auto"/>
              </w:rPr>
            </w:pPr>
          </w:p>
        </w:tc>
        <w:tc>
          <w:tcPr>
            <w:tcW w:w="6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Consumer Products segment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2,567.8</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2,625.8</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30"/>
        </w:trPr>
        <w:tc>
          <w:tcPr>
            <w:tcW w:w="20" w:type="dxa"/>
            <w:vAlign w:val="bottom"/>
            <w:shd w:val="clear" w:color="auto" w:fill="CCEEFF"/>
          </w:tcPr>
          <w:p>
            <w:pPr>
              <w:spacing w:after="0"/>
              <w:rPr>
                <w:sz w:val="19"/>
                <w:szCs w:val="19"/>
                <w:color w:val="auto"/>
              </w:rPr>
            </w:pPr>
          </w:p>
        </w:tc>
        <w:tc>
          <w:tcPr>
            <w:tcW w:w="6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Wizards of the Coast and Digital Gaming segment</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1,008.7</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29"/>
        </w:trPr>
        <w:tc>
          <w:tcPr>
            <w:tcW w:w="20" w:type="dxa"/>
            <w:vAlign w:val="bottom"/>
          </w:tcPr>
          <w:p>
            <w:pPr>
              <w:spacing w:after="0"/>
              <w:rPr>
                <w:sz w:val="19"/>
                <w:szCs w:val="19"/>
                <w:color w:val="auto"/>
              </w:rPr>
            </w:pPr>
          </w:p>
        </w:tc>
        <w:tc>
          <w:tcPr>
            <w:tcW w:w="6260" w:type="dxa"/>
            <w:vAlign w:val="bottom"/>
            <w:gridSpan w:val="3"/>
          </w:tcPr>
          <w:p>
            <w:pPr>
              <w:spacing w:after="0" w:line="230" w:lineRule="exact"/>
              <w:rPr>
                <w:sz w:val="20"/>
                <w:szCs w:val="20"/>
                <w:color w:val="auto"/>
              </w:rPr>
            </w:pPr>
            <w:r>
              <w:rPr>
                <w:rFonts w:ascii="Times New Roman" w:cs="Times New Roman" w:eastAsia="Times New Roman" w:hAnsi="Times New Roman"/>
                <w:sz w:val="18"/>
                <w:szCs w:val="18"/>
                <w:color w:val="auto"/>
              </w:rPr>
              <w:t xml:space="preserve">Entertainment segment </w:t>
            </w:r>
            <w:r>
              <w:rPr>
                <w:rFonts w:ascii="Times New Roman" w:cs="Times New Roman" w:eastAsia="Times New Roman" w:hAnsi="Times New Roman"/>
                <w:sz w:val="23"/>
                <w:szCs w:val="23"/>
                <w:color w:val="auto"/>
                <w:vertAlign w:val="superscript"/>
              </w:rPr>
              <w:t>*</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772.5</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70"/>
        </w:trPr>
        <w:tc>
          <w:tcPr>
            <w:tcW w:w="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45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r>
      <w:tr>
        <w:trPr>
          <w:trHeight w:val="189"/>
        </w:trPr>
        <w:tc>
          <w:tcPr>
            <w:tcW w:w="20" w:type="dxa"/>
            <w:vAlign w:val="bottom"/>
          </w:tcPr>
          <w:p>
            <w:pPr>
              <w:spacing w:after="0"/>
              <w:rPr>
                <w:sz w:val="16"/>
                <w:szCs w:val="16"/>
                <w:color w:val="auto"/>
              </w:rPr>
            </w:pPr>
          </w:p>
        </w:tc>
        <w:tc>
          <w:tcPr>
            <w:tcW w:w="62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Operating Profit (Loss)</w:t>
            </w: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Consumer Products segment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r>
      <w:tr>
        <w:trPr>
          <w:trHeight w:val="229"/>
        </w:trPr>
        <w:tc>
          <w:tcPr>
            <w:tcW w:w="20" w:type="dxa"/>
            <w:vAlign w:val="bottom"/>
          </w:tcPr>
          <w:p>
            <w:pPr>
              <w:spacing w:after="0"/>
              <w:rPr>
                <w:sz w:val="19"/>
                <w:szCs w:val="19"/>
                <w:color w:val="auto"/>
              </w:rPr>
            </w:pPr>
          </w:p>
        </w:tc>
        <w:tc>
          <w:tcPr>
            <w:tcW w:w="6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Wizards of the Coast and Digital Gaming segment</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462.3</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30"/>
        </w:trPr>
        <w:tc>
          <w:tcPr>
            <w:tcW w:w="20" w:type="dxa"/>
            <w:vAlign w:val="bottom"/>
            <w:shd w:val="clear" w:color="auto" w:fill="CCEEFF"/>
          </w:tcPr>
          <w:p>
            <w:pPr>
              <w:spacing w:after="0"/>
              <w:rPr>
                <w:sz w:val="19"/>
                <w:szCs w:val="19"/>
                <w:color w:val="auto"/>
              </w:rPr>
            </w:pPr>
          </w:p>
        </w:tc>
        <w:tc>
          <w:tcPr>
            <w:tcW w:w="6260" w:type="dxa"/>
            <w:vAlign w:val="bottom"/>
            <w:gridSpan w:val="3"/>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Entertainment segment </w:t>
            </w:r>
            <w:r>
              <w:rPr>
                <w:rFonts w:ascii="Times New Roman" w:cs="Times New Roman" w:eastAsia="Times New Roman" w:hAnsi="Times New Roman"/>
                <w:sz w:val="23"/>
                <w:szCs w:val="23"/>
                <w:color w:val="auto"/>
                <w:vertAlign w:val="superscript"/>
              </w:rPr>
              <w:t>*</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97 %</w:t>
            </w:r>
          </w:p>
        </w:tc>
      </w:tr>
      <w:tr>
        <w:trPr>
          <w:trHeight w:val="234"/>
        </w:trPr>
        <w:tc>
          <w:tcPr>
            <w:tcW w:w="20" w:type="dxa"/>
            <w:vAlign w:val="bottom"/>
          </w:tcPr>
          <w:p>
            <w:pPr>
              <w:spacing w:after="0"/>
              <w:rPr>
                <w:sz w:val="20"/>
                <w:szCs w:val="20"/>
                <w:color w:val="auto"/>
              </w:rPr>
            </w:pPr>
          </w:p>
        </w:tc>
        <w:tc>
          <w:tcPr>
            <w:tcW w:w="6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r>
    </w:tbl>
    <w:p>
      <w:pPr>
        <w:spacing w:after="0" w:line="132" w:lineRule="exact"/>
        <w:rPr>
          <w:sz w:val="20"/>
          <w:szCs w:val="20"/>
          <w:color w:val="auto"/>
        </w:rPr>
      </w:pPr>
    </w:p>
    <w:p>
      <w:pPr>
        <w:ind w:right="180" w:firstLine="8"/>
        <w:spacing w:after="0" w:line="305" w:lineRule="auto"/>
        <w:tabs>
          <w:tab w:leader="none" w:pos="108" w:val="left"/>
        </w:tabs>
        <w:numPr>
          <w:ilvl w:val="0"/>
          <w:numId w:val="3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Entertainment segment net revenues and operating loss, for the nine-month period ended September 26, 2021 include $65.2 million and ($91.8) million, respectively, from eOne Music, which was sold at the beginning of the third quarter of 2021.</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Consumer Products Segment</w:t>
      </w:r>
    </w:p>
    <w:p>
      <w:pPr>
        <w:spacing w:after="0" w:line="18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Consumer Products segment net revenues by major geographic region for the nine-month periods ended September 25, 2022 and September 26, 2021.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74"/>
        </w:trPr>
        <w:tc>
          <w:tcPr>
            <w:tcW w:w="8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gridSpan w:val="2"/>
          </w:tcPr>
          <w:p>
            <w:pPr>
              <w:ind w:left="60"/>
              <w:spacing w:after="0" w:line="174" w:lineRule="exact"/>
              <w:rPr>
                <w:sz w:val="20"/>
                <w:szCs w:val="20"/>
                <w:color w:val="auto"/>
              </w:rPr>
            </w:pPr>
            <w:r>
              <w:rPr>
                <w:rFonts w:ascii="Times New Roman" w:cs="Times New Roman" w:eastAsia="Times New Roman" w:hAnsi="Times New Roman"/>
                <w:sz w:val="18"/>
                <w:szCs w:val="18"/>
                <w:b w:val="1"/>
                <w:bCs w:val="1"/>
                <w:color w:val="auto"/>
              </w:rPr>
              <w:t>September 25,</w:t>
            </w:r>
          </w:p>
        </w:tc>
        <w:tc>
          <w:tcPr>
            <w:tcW w:w="160" w:type="dxa"/>
            <w:vAlign w:val="bottom"/>
          </w:tcPr>
          <w:p>
            <w:pPr>
              <w:spacing w:after="0"/>
              <w:rPr>
                <w:sz w:val="15"/>
                <w:szCs w:val="15"/>
                <w:color w:val="auto"/>
              </w:rPr>
            </w:pPr>
          </w:p>
        </w:tc>
        <w:tc>
          <w:tcPr>
            <w:tcW w:w="1360" w:type="dxa"/>
            <w:vAlign w:val="bottom"/>
          </w:tcPr>
          <w:p>
            <w:pPr>
              <w:jc w:val="right"/>
              <w:ind w:right="130"/>
              <w:spacing w:after="0" w:line="174" w:lineRule="exact"/>
              <w:rPr>
                <w:sz w:val="20"/>
                <w:szCs w:val="20"/>
                <w:color w:val="auto"/>
              </w:rPr>
            </w:pPr>
            <w:r>
              <w:rPr>
                <w:rFonts w:ascii="Times New Roman" w:cs="Times New Roman" w:eastAsia="Times New Roman" w:hAnsi="Times New Roman"/>
                <w:sz w:val="18"/>
                <w:szCs w:val="18"/>
                <w:b w:val="1"/>
                <w:bCs w:val="1"/>
                <w:color w:val="auto"/>
              </w:rPr>
              <w:t>September 26,</w:t>
            </w:r>
          </w:p>
        </w:tc>
      </w:tr>
      <w:tr>
        <w:trPr>
          <w:trHeight w:val="238"/>
        </w:trPr>
        <w:tc>
          <w:tcPr>
            <w:tcW w:w="80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1,559.1</w:t>
            </w: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669.2</w:t>
            </w: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w:t>
            </w:r>
          </w:p>
        </w:tc>
      </w:tr>
      <w:tr>
        <w:trPr>
          <w:trHeight w:val="229"/>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Latin America</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188.8</w:t>
            </w:r>
          </w:p>
        </w:tc>
      </w:tr>
      <w:tr>
        <w:trPr>
          <w:trHeight w:val="248"/>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2,625.8</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Consumer Products segment net revenues decreased 2% to $2,567.8 million for the first nine months of 2022 compared to $2,625.8 million for the first nine months of 2021 and included the impact of an unfavorable $72.6 million currency translation. Absent the impact of foreign currency exchange, Consumer Products segment net revenues increased $14.5 million or 1%.</w:t>
      </w:r>
    </w:p>
    <w:p>
      <w:pPr>
        <w:spacing w:after="0" w:line="12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the first nine months of 2022, the Consumer Products segment benefited from higher sales of the Company's Partner Brands for MARVEL and STAR WARS, as well as higher sales of PEPPA PIG and PLAY-DOH products. To a lesser extent, higher sales of MY LITTLE PONY, POWER RANGERS and PJ MASKS products contributed to the increase. Offsetting these increases were lower sales of certain Partner Brands, notably, the Company's products for DISNEY FROZEN, DISNEY PRINCESS and BEYBLADE and lower sales of MONOPOLY, NERF, TRANSFORMERS and certain Hasbro Gaming products. Net revenue declines in North America and, to a lesser extent, in Asia Pacific markets were partially offset by higher net revenues in Latin American markets during the first nine months of 2022. In Europe, absent the unfavorable foreign currency exchange impact of $58.0 million, net revenues remained flat.</w:t>
      </w:r>
    </w:p>
    <w:p>
      <w:pPr>
        <w:spacing w:after="0" w:line="8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Consumer Products segment operating profit for the first nine months of 2022 was $138.9 million or 5.4% of segment net revenues, compared to segment operating profit of $260.5 million or 9.9% of segment net revenues, for the first nine months of 2021. The decrease in operating profit in the first nine months of 2022 was driven by lower sales volumes and higher sales allowances combined with increased obsolescence charges related to higher inventory balances, primarily across Europe and North America. In addition, the operating profit decrease was the result of increased marketing and sales costs, increased warehouse expenses and higher product costs, including higher distribution costs driven by increased freight costs, primarily in Europe. As noted above, in alignment with the revenue generated from the assets acquired in the eOne Acquisition, Consumer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537845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39" w:name="page40"/>
    <w:bookmarkEnd w:id="39"/>
    <w:p>
      <w:pPr>
        <w:ind w:right="20"/>
        <w:spacing w:after="0" w:line="258" w:lineRule="auto"/>
        <w:rPr>
          <w:sz w:val="20"/>
          <w:szCs w:val="20"/>
          <w:color w:val="auto"/>
        </w:rPr>
      </w:pPr>
      <w:r>
        <w:rPr>
          <w:rFonts w:ascii="Times New Roman" w:cs="Times New Roman" w:eastAsia="Times New Roman" w:hAnsi="Times New Roman"/>
          <w:sz w:val="18"/>
          <w:szCs w:val="18"/>
          <w:color w:val="auto"/>
        </w:rPr>
        <w:t>Products segment operating profit for the first nine months of 2022 includes $28.9 million of intangible amortization, which was reported in 2021 within the Entertainment segment results. This allocation of intangible amortization drove a 1.1% decline in operating margin for the Consumer Products segment. These negative impacts were partially offset by price increases implemented during the second half 2021 and during the first nine months of 2022 and lower advertising and promotion costs as the Company aligned consumer products advertising closer to key holiday and retailer planned promotional periods.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Wizards of the Coast and Digital Gaming Segment</w:t>
      </w:r>
    </w:p>
    <w:p>
      <w:pPr>
        <w:spacing w:after="0" w:line="11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table presents Wizards of the Coast and Digital Gaming segment net revenues by category for the nine-month periods ended September 25, 2022 and September 26, 2021.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69"/>
        </w:trPr>
        <w:tc>
          <w:tcPr>
            <w:tcW w:w="8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ind w:left="60"/>
              <w:spacing w:after="0" w:line="169" w:lineRule="exact"/>
              <w:rPr>
                <w:sz w:val="20"/>
                <w:szCs w:val="20"/>
                <w:color w:val="auto"/>
              </w:rPr>
            </w:pPr>
            <w:r>
              <w:rPr>
                <w:rFonts w:ascii="Times New Roman" w:cs="Times New Roman" w:eastAsia="Times New Roman" w:hAnsi="Times New Roman"/>
                <w:sz w:val="18"/>
                <w:szCs w:val="18"/>
                <w:b w:val="1"/>
                <w:bCs w:val="1"/>
                <w:color w:val="auto"/>
              </w:rPr>
              <w:t>September 25,</w:t>
            </w:r>
          </w:p>
        </w:tc>
        <w:tc>
          <w:tcPr>
            <w:tcW w:w="160" w:type="dxa"/>
            <w:vAlign w:val="bottom"/>
          </w:tcPr>
          <w:p>
            <w:pPr>
              <w:spacing w:after="0"/>
              <w:rPr>
                <w:sz w:val="14"/>
                <w:szCs w:val="14"/>
                <w:color w:val="auto"/>
              </w:rPr>
            </w:pPr>
          </w:p>
        </w:tc>
        <w:tc>
          <w:tcPr>
            <w:tcW w:w="1360" w:type="dxa"/>
            <w:vAlign w:val="bottom"/>
          </w:tcPr>
          <w:p>
            <w:pPr>
              <w:jc w:val="right"/>
              <w:ind w:right="130"/>
              <w:spacing w:after="0" w:line="169" w:lineRule="exact"/>
              <w:rPr>
                <w:sz w:val="20"/>
                <w:szCs w:val="20"/>
                <w:color w:val="auto"/>
              </w:rPr>
            </w:pPr>
            <w:r>
              <w:rPr>
                <w:rFonts w:ascii="Times New Roman" w:cs="Times New Roman" w:eastAsia="Times New Roman" w:hAnsi="Times New Roman"/>
                <w:sz w:val="18"/>
                <w:szCs w:val="18"/>
                <w:b w:val="1"/>
                <w:bCs w:val="1"/>
                <w:color w:val="auto"/>
              </w:rPr>
              <w:t>September 26,</w:t>
            </w:r>
          </w:p>
        </w:tc>
      </w:tr>
      <w:tr>
        <w:trPr>
          <w:trHeight w:val="241"/>
        </w:trPr>
        <w:tc>
          <w:tcPr>
            <w:tcW w:w="80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5"/>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Tabletop Gaming</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760.1</w:t>
            </w:r>
          </w:p>
        </w:tc>
      </w:tr>
      <w:tr>
        <w:trPr>
          <w:trHeight w:val="230"/>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Digital and Licensed Gaming</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248.6</w:t>
            </w:r>
          </w:p>
        </w:tc>
      </w:tr>
      <w:tr>
        <w:trPr>
          <w:trHeight w:val="248"/>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1,008.7</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Wizards of the Coast and Digital Gaming segment net revenues decreased 2% in the first nine months of 2022 to $986.1 million from $1,008.7 million in the first nine months of 2021 and included the impact of an unfavorable $19.9 million foreign currency translation. Absent the impact of foreign currency exchange, Wizards of the Coast and Digital Gaming Segment net revenues were relatively flat.</w:t>
      </w:r>
    </w:p>
    <w:p>
      <w:pPr>
        <w:spacing w:after="0" w:line="13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Net revenues in the Wizards of the Coast and Digital Gaming segment during the first nine months of 2022 were driven primarily by higher net revenues from Wizards of the Coast tabletop gaming products, most notably, MAGIC: THE GATHERING, due to the number of strong performing card set releases. These net revenue increases were offset by lower DUNGEONS &amp; DRAGONS tabletop gaming net revenues and lower digital gaming net revenues from </w:t>
      </w:r>
      <w:r>
        <w:rPr>
          <w:rFonts w:ascii="Times New Roman" w:cs="Times New Roman" w:eastAsia="Times New Roman" w:hAnsi="Times New Roman"/>
          <w:sz w:val="18"/>
          <w:szCs w:val="18"/>
          <w:i w:val="1"/>
          <w:iCs w:val="1"/>
          <w:color w:val="auto"/>
        </w:rPr>
        <w:t xml:space="preserve">Magic: The Gathering Arena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Dungeons &amp; Dragons: Dark Alliance</w:t>
      </w:r>
      <w:r>
        <w:rPr>
          <w:rFonts w:ascii="Times New Roman" w:cs="Times New Roman" w:eastAsia="Times New Roman" w:hAnsi="Times New Roman"/>
          <w:sz w:val="18"/>
          <w:szCs w:val="18"/>
          <w:color w:val="auto"/>
        </w:rPr>
        <w:t>, released during 2021 without comparable releases in 2022.</w:t>
      </w:r>
    </w:p>
    <w:p>
      <w:pPr>
        <w:spacing w:after="0" w:line="13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Wizards of the Coast and Digital Gaming segment operating profit was $434.2 million, or 44.0% of segment net revenues for the first nine months of 2022, compared to operating profit of $462.3 million, or 45.8% of segment net revenues for the first nine months of 2021. The operating profit decrease during the first nine months of 2022 was the result of higher inventory costs and higher royalty expenses attributable to sales of </w:t>
      </w:r>
      <w:r>
        <w:rPr>
          <w:rFonts w:ascii="Times New Roman" w:cs="Times New Roman" w:eastAsia="Times New Roman" w:hAnsi="Times New Roman"/>
          <w:sz w:val="18"/>
          <w:szCs w:val="18"/>
          <w:i w:val="1"/>
          <w:iCs w:val="1"/>
          <w:color w:val="auto"/>
        </w:rPr>
        <w:t>Magic: The Gathering Universes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Beyond: Warhammer 40,000</w:t>
      </w:r>
      <w:r>
        <w:rPr>
          <w:rFonts w:ascii="Times New Roman" w:cs="Times New Roman" w:eastAsia="Times New Roman" w:hAnsi="Times New Roman"/>
          <w:sz w:val="18"/>
          <w:szCs w:val="18"/>
          <w:color w:val="auto"/>
        </w:rPr>
        <w:t>, and higher product development costs. These increases were partially offset by lower advertising expenses and lower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depreciation costs compared to the first nine months of 2021, where the Company incurred higher costs associated with the launch of the mobile version of </w:t>
      </w:r>
      <w:r>
        <w:rPr>
          <w:rFonts w:ascii="Times New Roman" w:cs="Times New Roman" w:eastAsia="Times New Roman" w:hAnsi="Times New Roman"/>
          <w:sz w:val="18"/>
          <w:szCs w:val="18"/>
          <w:i w:val="1"/>
          <w:iCs w:val="1"/>
          <w:color w:val="auto"/>
        </w:rPr>
        <w:t xml:space="preserve">Magic: The Gathering Arena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Dungeons &amp; Dragons: Dark Alliance</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Entertainment Segment</w:t>
      </w:r>
    </w:p>
    <w:p>
      <w:pPr>
        <w:spacing w:after="0" w:line="11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following table presents Entertainment segment net revenues by category for the nine-month periods ended September 25, 2022 and September 26, 2021.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69"/>
        </w:trPr>
        <w:tc>
          <w:tcPr>
            <w:tcW w:w="8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ind w:left="60"/>
              <w:spacing w:after="0" w:line="169" w:lineRule="exact"/>
              <w:rPr>
                <w:sz w:val="20"/>
                <w:szCs w:val="20"/>
                <w:color w:val="auto"/>
              </w:rPr>
            </w:pPr>
            <w:r>
              <w:rPr>
                <w:rFonts w:ascii="Times New Roman" w:cs="Times New Roman" w:eastAsia="Times New Roman" w:hAnsi="Times New Roman"/>
                <w:sz w:val="18"/>
                <w:szCs w:val="18"/>
                <w:b w:val="1"/>
                <w:bCs w:val="1"/>
                <w:color w:val="auto"/>
              </w:rPr>
              <w:t>September 25,</w:t>
            </w:r>
          </w:p>
        </w:tc>
        <w:tc>
          <w:tcPr>
            <w:tcW w:w="160" w:type="dxa"/>
            <w:vAlign w:val="bottom"/>
          </w:tcPr>
          <w:p>
            <w:pPr>
              <w:spacing w:after="0"/>
              <w:rPr>
                <w:sz w:val="14"/>
                <w:szCs w:val="14"/>
                <w:color w:val="auto"/>
              </w:rPr>
            </w:pPr>
          </w:p>
        </w:tc>
        <w:tc>
          <w:tcPr>
            <w:tcW w:w="1360" w:type="dxa"/>
            <w:vAlign w:val="bottom"/>
          </w:tcPr>
          <w:p>
            <w:pPr>
              <w:jc w:val="right"/>
              <w:ind w:right="130"/>
              <w:spacing w:after="0" w:line="169" w:lineRule="exact"/>
              <w:rPr>
                <w:sz w:val="20"/>
                <w:szCs w:val="20"/>
                <w:color w:val="auto"/>
              </w:rPr>
            </w:pPr>
            <w:r>
              <w:rPr>
                <w:rFonts w:ascii="Times New Roman" w:cs="Times New Roman" w:eastAsia="Times New Roman" w:hAnsi="Times New Roman"/>
                <w:sz w:val="18"/>
                <w:szCs w:val="18"/>
                <w:b w:val="1"/>
                <w:bCs w:val="1"/>
                <w:color w:val="auto"/>
              </w:rPr>
              <w:t>September 26,</w:t>
            </w:r>
          </w:p>
        </w:tc>
      </w:tr>
      <w:tr>
        <w:trPr>
          <w:trHeight w:val="241"/>
        </w:trPr>
        <w:tc>
          <w:tcPr>
            <w:tcW w:w="80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5"/>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Film and TV</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586.1</w:t>
            </w:r>
          </w:p>
        </w:tc>
      </w:tr>
      <w:tr>
        <w:trPr>
          <w:trHeight w:val="22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Family Brands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w:t>
            </w: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Music and Other *</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r>
      <w:tr>
        <w:trPr>
          <w:trHeight w:val="22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772.5</w:t>
            </w:r>
          </w:p>
        </w:tc>
      </w:tr>
      <w:tr>
        <w:trPr>
          <w:trHeight w:val="20"/>
        </w:trPr>
        <w:tc>
          <w:tcPr>
            <w:tcW w:w="8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24" w:lineRule="exact"/>
        <w:rPr>
          <w:sz w:val="20"/>
          <w:szCs w:val="20"/>
          <w:color w:val="auto"/>
        </w:rPr>
      </w:pPr>
    </w:p>
    <w:p>
      <w:pPr>
        <w:ind w:right="260"/>
        <w:spacing w:after="0" w:line="285" w:lineRule="auto"/>
        <w:rPr>
          <w:sz w:val="20"/>
          <w:szCs w:val="20"/>
          <w:color w:val="auto"/>
        </w:rPr>
      </w:pPr>
      <w:r>
        <w:rPr>
          <w:rFonts w:ascii="Times New Roman" w:cs="Times New Roman" w:eastAsia="Times New Roman" w:hAnsi="Times New Roman"/>
          <w:sz w:val="14"/>
          <w:szCs w:val="14"/>
          <w:i w:val="1"/>
          <w:iCs w:val="1"/>
          <w:color w:val="auto"/>
        </w:rPr>
        <w:t>*Music and Other category net revenues for the nine-month period ended September 26, 2021 includes $65.2 million from eOne Music, which was sold at the beginning of the third quarter of 2021.</w:t>
      </w:r>
    </w:p>
    <w:p>
      <w:pPr>
        <w:spacing w:after="0" w:line="56"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Entertainment segment net revenues for the nine months ended September 25, 2022 decreased 19% to $624.3 million from $772.5 million for the nine months ended September 26, 2021, and included the impact of an unfavorable $11.4 million foreign currency translation. Absent the impact of foreign currency exchange, Entertainment segment net revenues declined $136.8 million or 18% during the third quarter of 2022.</w:t>
      </w:r>
    </w:p>
    <w:p>
      <w:pPr>
        <w:spacing w:after="0" w:line="6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segment net revenue decrease during the first nine months of 2022 was driven by the sale of eOne Music business in the third quarter of 2021 which accounted for $65.2 million or 8.4% of segment net revenues in the first nine months of 2021.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521335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40" w:name="page41"/>
    <w:bookmarkEnd w:id="40"/>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addition, lower film deliveries, the timing of certain scripted television content deliveries and lower net revenues from streaming content sales compared to the third quarter of 2021 which benefited from the September 2021 release of </w:t>
      </w:r>
      <w:r>
        <w:rPr>
          <w:rFonts w:ascii="Times New Roman" w:cs="Times New Roman" w:eastAsia="Times New Roman" w:hAnsi="Times New Roman"/>
          <w:sz w:val="18"/>
          <w:szCs w:val="18"/>
          <w:i w:val="1"/>
          <w:iCs w:val="1"/>
          <w:color w:val="auto"/>
        </w:rPr>
        <w:t>MY LITTLE PONY: A NEW GENERATION</w:t>
      </w:r>
      <w:r>
        <w:rPr>
          <w:rFonts w:ascii="Times New Roman" w:cs="Times New Roman" w:eastAsia="Times New Roman" w:hAnsi="Times New Roman"/>
          <w:sz w:val="18"/>
          <w:szCs w:val="18"/>
          <w:color w:val="auto"/>
        </w:rPr>
        <w:t>. These decreases were partially offset by higher net revenues from unscripted programming deliveries and higher net revenues from touring live shows during the first nine months of 2022.</w:t>
      </w:r>
    </w:p>
    <w:p>
      <w:pPr>
        <w:spacing w:after="0" w:line="7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Entertainment segment operating losses were $2.4 million, or 0.4% of net revenues, for the nine months ended September 25, 2022, compared to operating losses of $74.3 million, or 9.6% of segment net revenues, for the nine months ended September 26, 2021. The improved operating results during the first nine months of 2022 were driven by the second quarter 2021, non-cash impairment charge of $101.8 million associated with the sale of eOne Music, the allocation of $28.8 million of intangible asset amortization costs to the Consumer Products segment during the first nine months of 2022, as well as lower royalty expenses and lower program amortization costs, reflecting the mix of programming delivered during the first nine months of 2022. These impacts to segment operating results were partially offset by a loss on assets held for sale of $23.1 million and asset impairment charges of $3.7 million recorded during the third quarter of 2022 related to the implementation of the Company's Operational Excellence program, as well as the impact of the sale of the eOne Music business described above.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and Other Segment</w:t>
      </w:r>
    </w:p>
    <w:p>
      <w:pPr>
        <w:spacing w:after="0" w:line="6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Operating losses in the Corporate and Other Segment for the first nine months of 2022 were $37.3 million, compared to operating losses of $56.7 million for the first nine months of 2021. The decline in operating losses during the first nine months of 2022 was the result of lower royalty and administrative expenses and lower advertising costs, partially offset by severance and other employee related charges and consultant fees associated with Company's strategic review and related cost-savings initiatives described above. Operating losses in 2021 included transaction costs associated with the sale of eOne Music described above.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OPERATING COSTS AND EXPENSES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Third Quarter 2022</w:t>
      </w:r>
    </w:p>
    <w:p>
      <w:pPr>
        <w:spacing w:after="0" w:line="121"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The Company's costs and expenses, stated as percentages of net revenues, are illustrated below for the quarters ended September 25, 2022 and September 26, 2021.</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80" w:type="dxa"/>
            <w:vAlign w:val="bottom"/>
          </w:tcPr>
          <w:p>
            <w:pPr>
              <w:spacing w:after="0"/>
              <w:rPr>
                <w:sz w:val="20"/>
                <w:szCs w:val="20"/>
                <w:color w:val="auto"/>
              </w:rPr>
            </w:pPr>
          </w:p>
        </w:tc>
        <w:tc>
          <w:tcPr>
            <w:tcW w:w="3420" w:type="dxa"/>
            <w:vAlign w:val="bottom"/>
            <w:tcBorders>
              <w:bottom w:val="single" w:sz="8" w:color="auto"/>
            </w:tcBorders>
            <w:gridSpan w:val="3"/>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Quarter Ended</w:t>
            </w:r>
          </w:p>
        </w:tc>
      </w:tr>
      <w:tr>
        <w:trPr>
          <w:trHeight w:val="223"/>
        </w:trPr>
        <w:tc>
          <w:tcPr>
            <w:tcW w:w="7780" w:type="dxa"/>
            <w:vAlign w:val="bottom"/>
          </w:tcPr>
          <w:p>
            <w:pPr>
              <w:spacing w:after="0"/>
              <w:rPr>
                <w:sz w:val="19"/>
                <w:szCs w:val="19"/>
                <w:color w:val="auto"/>
              </w:rPr>
            </w:pPr>
          </w:p>
        </w:tc>
        <w:tc>
          <w:tcPr>
            <w:tcW w:w="17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25, 2022</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26, 2021</w:t>
            </w:r>
          </w:p>
        </w:tc>
      </w:tr>
      <w:tr>
        <w:trPr>
          <w:trHeight w:val="223"/>
        </w:trPr>
        <w:tc>
          <w:tcPr>
            <w:tcW w:w="7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35.0 %</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30.9 %</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Program cost amortization</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9.5 %</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Royalties</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8.7 %</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development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Advertising</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8.3 %</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assets held for sale</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distribution and administration</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21.8 %</w:t>
            </w:r>
          </w:p>
        </w:tc>
        <w:tc>
          <w:tcPr>
            <w:tcW w:w="1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18.4 %</w:t>
            </w:r>
          </w:p>
        </w:tc>
      </w:tr>
    </w:tbl>
    <w:p>
      <w:pPr>
        <w:spacing w:after="0" w:line="287"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Cost of sales for the third quarter of 2022 was $586.6 million, or 35.0% of net revenues, compared to $609.5 million, or 30.9% of net revenues, for the third quarter of 2021. The cost of sales decrease in dollars was driven primarily by lower sales volumes during the third quarter of 2022 compared to the third quarter of 2021. The cost of sales increase as a percent of net revenues was the result of higher inventory obsolescence charges and higher product costs, most notably in the Company's Consumer Products business.</w:t>
      </w:r>
    </w:p>
    <w:p>
      <w:pPr>
        <w:spacing w:after="0" w:line="7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Program cost amortization decreased to $146.5 million, or 8.7% of net revenues, for the third quarter of 2022 from $187.9 million, or 9.5% of net revenues, for the third quarter of 2021. Program costs are capitalized as incurred and amortized primarily using the individual-film-forecast method which matches costs to the related recognized revenue. The decrease in dollars and as a percent of net revenues during the third quarter of 2022 was driven by lower sales volume within the Entertainment segment, due primarily to the timing of deliveries and the mix of content delivered, compared to the third quarter of 2021. These decreases were partially offset by $3.7 million of asset impairment charges recorded during the third quarter of 2022, related to discontinued projects associated with the exit of non-core business within the Entertainment segment.</w:t>
      </w:r>
    </w:p>
    <w:p>
      <w:pPr>
        <w:spacing w:after="0" w:line="7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Royalty expense for the third quarter of 2022 decreased to $135.1 million, or 8.1% of net revenues, compared to $171.8 million, or 8.7% of net revenues, for the third quarter of 2021. Fluctuations in royalty expense are generally related to the volume of content releases and deliveries and entertainment-driven products sold. The decrease in royalty expense during the third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530860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41" w:name="page42"/>
    <w:bookmarkEnd w:id="41"/>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of 2022 reflects lower sales of Partner Brands and the mix of Film and TV deliveries during the quarter, partially offset by higher royalty expenses related to the release of </w:t>
      </w:r>
      <w:r>
        <w:rPr>
          <w:rFonts w:ascii="Times New Roman" w:cs="Times New Roman" w:eastAsia="Times New Roman" w:hAnsi="Times New Roman"/>
          <w:sz w:val="18"/>
          <w:szCs w:val="18"/>
          <w:i w:val="1"/>
          <w:iCs w:val="1"/>
          <w:color w:val="auto"/>
        </w:rPr>
        <w:t>Magic: The Gathering Universes Beyond: Warhammer 40,000</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Product development expense for the third quarter of 2022 was $82.4 million, or 4.9% of net revenues, compared to $80.1 million, or 4.1% of net revenues, for the third quarter of 2021. The increase was primarily related to higher investments and costs to support the Company's Wizards of the Coast tabletop and digital gaming initiatives, partially offset by lower product development costs within the Consumer Products segment.</w:t>
      </w:r>
    </w:p>
    <w:p>
      <w:pPr>
        <w:spacing w:after="0" w:line="6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Advertising expense for the third quarter of 2022 was $115.2 million, or 6.9% of net revenues, compared to $163.3 million, or 8.3% of net revenues, for the third quarter of 2021. Advertising spend is generally impacted by revenue mix and the number and type of entertainment releases delivered. The advertising expense decrease during the third quarter of 2022 was driven by lower expense within the Consumer Products and Entertainment segments. In the Consumer Products segment, advertising and promotion costs declined as the Company managed its consumer products advertising closer to key holiday and retailer planned promotional periods. In the Entertainment segment, higher advertising expense during the third quarter 2021 was driven by support for the September 2021 release of </w:t>
      </w:r>
      <w:r>
        <w:rPr>
          <w:rFonts w:ascii="Times New Roman" w:cs="Times New Roman" w:eastAsia="Times New Roman" w:hAnsi="Times New Roman"/>
          <w:sz w:val="18"/>
          <w:szCs w:val="18"/>
          <w:i w:val="1"/>
          <w:iCs w:val="1"/>
          <w:color w:val="auto"/>
        </w:rPr>
        <w:t>MY LITTLE PONY: A NEW GENERATION,</w:t>
      </w:r>
      <w:r>
        <w:rPr>
          <w:rFonts w:ascii="Times New Roman" w:cs="Times New Roman" w:eastAsia="Times New Roman" w:hAnsi="Times New Roman"/>
          <w:sz w:val="18"/>
          <w:szCs w:val="18"/>
          <w:color w:val="auto"/>
        </w:rPr>
        <w:t xml:space="preserve"> with no comparable releases in 2022.</w:t>
      </w:r>
    </w:p>
    <w:p>
      <w:pPr>
        <w:spacing w:after="0" w:line="7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Amortization of intangible assets decreased to $26.9 million, or 1.6% of net revenues, for the third quarter of 2022, compared to $27.7 million, or 1.4% of net revenues, for the third quarter of 2021. The decrease in 2022 reflects the impact of certain intangible assets which were fully amortized during 2021, partially offset by additional expense associated with assets acquired through the D&amp;D Beyond Acquisition during the second quarter of 2022.</w:t>
      </w:r>
    </w:p>
    <w:p>
      <w:pPr>
        <w:spacing w:after="0" w:line="6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loss on assets held for sale of $23.1 million, or 1.4% of net revenues, represents non-cash impairment charges associated with the exit of certain non-core businesses within the Entertainment segment.</w:t>
      </w:r>
    </w:p>
    <w:p>
      <w:pPr>
        <w:spacing w:after="0" w:line="5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Selling, distribution and administration expenses increased to $365.8 million, or 21.8% of net revenues for the third quarter of 2022, from $361.8 million, or 18.4% of net revenues, for the third quarter of 2021. The increase in selling, distribution and administration expenses primarily reflects charges totaling $28.5 million related to the exit of certain non-core businesses within the Entertainment segment, consisting of $21.3 million of severance charges and $7.2 million of consultant fees. In addition to these charges, higher marketing and sales costs, most notably within the Consumer Products segment, contributed to the increase. These increases were partially offset by lower compensation expense combined with lower depreciation expense in the third quarter of 2022 compared to the third quarter of 2021, associated with the launch of </w:t>
      </w:r>
      <w:r>
        <w:rPr>
          <w:rFonts w:ascii="Times New Roman" w:cs="Times New Roman" w:eastAsia="Times New Roman" w:hAnsi="Times New Roman"/>
          <w:sz w:val="18"/>
          <w:szCs w:val="18"/>
          <w:i w:val="1"/>
          <w:iCs w:val="1"/>
          <w:color w:val="auto"/>
        </w:rPr>
        <w:t>Dungeons &amp; Dragons: Dark Alliance.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First Nine Months of 2022</w:t>
      </w:r>
    </w:p>
    <w:p>
      <w:pPr>
        <w:spacing w:after="0" w:line="121"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8"/>
          <w:szCs w:val="18"/>
          <w:color w:val="auto"/>
        </w:rPr>
        <w:t>The Company's costs and expenses, stated as percentages of net revenues, are illustrated below for the nine-month periods ended September 25, 2022 and September 26, 2021.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80" w:type="dxa"/>
            <w:vAlign w:val="bottom"/>
          </w:tcPr>
          <w:p>
            <w:pPr>
              <w:spacing w:after="0"/>
              <w:rPr>
                <w:sz w:val="20"/>
                <w:szCs w:val="20"/>
                <w:color w:val="auto"/>
              </w:rPr>
            </w:pPr>
          </w:p>
        </w:tc>
        <w:tc>
          <w:tcPr>
            <w:tcW w:w="3440" w:type="dxa"/>
            <w:vAlign w:val="bottom"/>
            <w:tcBorders>
              <w:bottom w:val="single" w:sz="8" w:color="auto"/>
            </w:tcBorders>
            <w:gridSpan w:val="3"/>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23"/>
        </w:trPr>
        <w:tc>
          <w:tcPr>
            <w:tcW w:w="7580" w:type="dxa"/>
            <w:vAlign w:val="bottom"/>
          </w:tcPr>
          <w:p>
            <w:pPr>
              <w:spacing w:after="0"/>
              <w:rPr>
                <w:sz w:val="19"/>
                <w:szCs w:val="19"/>
                <w:color w:val="auto"/>
              </w:rPr>
            </w:pPr>
          </w:p>
        </w:tc>
        <w:tc>
          <w:tcPr>
            <w:tcW w:w="17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25, 2022</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26, 2021</w:t>
            </w:r>
          </w:p>
        </w:tc>
      </w:tr>
      <w:tr>
        <w:trPr>
          <w:trHeight w:val="223"/>
        </w:trPr>
        <w:tc>
          <w:tcPr>
            <w:tcW w:w="7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31.9 %</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28.2 %</w:t>
            </w:r>
          </w:p>
        </w:tc>
      </w:tr>
      <w:tr>
        <w:trPr>
          <w:trHeight w:val="230"/>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Program cost amortization</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9.0 %</w:t>
            </w:r>
          </w:p>
        </w:tc>
      </w:tr>
      <w:tr>
        <w:trPr>
          <w:trHeight w:val="22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Royalties</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8.9 %</w:t>
            </w:r>
          </w:p>
        </w:tc>
      </w:tr>
      <w:tr>
        <w:trPr>
          <w:trHeight w:val="230"/>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development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w:t>
            </w:r>
          </w:p>
        </w:tc>
      </w:tr>
      <w:tr>
        <w:trPr>
          <w:trHeight w:val="23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Advertising</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8.1 %</w:t>
            </w:r>
          </w:p>
        </w:tc>
      </w:tr>
      <w:tr>
        <w:trPr>
          <w:trHeight w:val="230"/>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2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assets held for sale</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disposal of a business</w:t>
            </w: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r>
      <w:tr>
        <w:trPr>
          <w:trHeight w:val="23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distribution and administration</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22.8 %</w:t>
            </w:r>
          </w:p>
        </w:tc>
      </w:tr>
    </w:tbl>
    <w:p>
      <w:pPr>
        <w:spacing w:after="0" w:line="18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Cost of sales for the nine months ended September 25, 2022 increased to $1,331.2 million, or 31.9% of net revenues, from $1,244.4 million, or 28.2% of net revenues for the nine months ended September 26, 2021. The cost of sales increase in dollars and as a percent of net revenues was due to higher product input costs, including higher freight and material costs and higher inventory obsolescence charges to address excess inventory, most notably within Europe and the U.S.</w:t>
      </w:r>
    </w:p>
    <w:p>
      <w:pPr>
        <w:spacing w:after="0" w:line="7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Program cost amortization decreased in the first nine months of 2022 to $365.7 million, or 8.8% of net revenues, from $396.1 million, or 9.0% of net revenues, in the first nine months of 2021. The program cost amortization decrease during the first nine months of 2022, was driven by the volume and mix of programming revenues during the first nine months of 2022 compared to the first nine months of 2021, partially offset by $3.7 million of asset impairment charges recorded during the third quarter of 2022, related to discontinued projects associated with the exit of non-core business within the Entertainment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535305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42" w:name="page43"/>
    <w:bookmarkEnd w:id="42"/>
    <w:p>
      <w:pPr>
        <w:ind w:right="80"/>
        <w:spacing w:after="0" w:line="256" w:lineRule="auto"/>
        <w:rPr>
          <w:sz w:val="20"/>
          <w:szCs w:val="20"/>
          <w:color w:val="auto"/>
        </w:rPr>
      </w:pPr>
      <w:r>
        <w:rPr>
          <w:rFonts w:ascii="Times New Roman" w:cs="Times New Roman" w:eastAsia="Times New Roman" w:hAnsi="Times New Roman"/>
          <w:sz w:val="18"/>
          <w:szCs w:val="18"/>
          <w:color w:val="auto"/>
        </w:rPr>
        <w:t xml:space="preserve">Royalty expense for the nine months ended September 25, 2022 was $335.3 million, or 8.0% of net revenues, compared to $392.2 million, or 8.9% of net revenues, for the nine months ended September 26, 2021. The decrease in royalty expense in dollars was driven by the impact of the sale of eOne Music and the mix of Film and TV deliveries during the first nine months of 2022. In addition, certain licensing agreements acquired through the eOne Acquisition expired, which carried higher royalty expenses in prior periods. These decreases were partially offset by higher royalty expenses related to the release of </w:t>
      </w:r>
      <w:r>
        <w:rPr>
          <w:rFonts w:ascii="Times New Roman" w:cs="Times New Roman" w:eastAsia="Times New Roman" w:hAnsi="Times New Roman"/>
          <w:sz w:val="18"/>
          <w:szCs w:val="18"/>
          <w:i w:val="1"/>
          <w:iCs w:val="1"/>
          <w:color w:val="auto"/>
        </w:rPr>
        <w:t>Magic: The Gathering Universes Beyond: Warhammer 40,000</w:t>
      </w:r>
      <w:r>
        <w:rPr>
          <w:rFonts w:ascii="Times New Roman" w:cs="Times New Roman" w:eastAsia="Times New Roman" w:hAnsi="Times New Roman"/>
          <w:sz w:val="18"/>
          <w:szCs w:val="18"/>
          <w:color w:val="auto"/>
        </w:rPr>
        <w:t>. The decrease in royalty expense as a percent of net revenues during the first nine months of 2022 was the result of a higher percentage of product sales that do not carry significant royalty expenses.</w:t>
      </w:r>
    </w:p>
    <w:p>
      <w:pPr>
        <w:spacing w:after="0" w:line="7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Product development expense for the nine months ended September 25, 2022 was $231.2 million, or 5.5% of net revenues, from $229.1 million, or 5.2% of net revenues, for the nine months ended September 26, 2021. Product development expense in the first nine months of 2022 was consistent with the first nine months of 2021, reflecting the Company’s continued investment in innovation and anticipated growth across our brand and entertainment portfolios.</w:t>
      </w:r>
    </w:p>
    <w:p>
      <w:pPr>
        <w:spacing w:after="0" w:line="68"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 xml:space="preserve">Advertising expense for the nine months ended September 25, 2022 was $277.0 million, or 6.6% of net revenues, compared to $356.6 million, or 8.1% of net revenues, for the nine months ended September 26, 2021. The advertising expense decrease during the first nine months of 2022 was driven by lower expense within the Entertainment segment related to the sale of the eOne Music business combined with a shift in the type of entertainment releases delivered and higher advertising expense during the third quarter 2021, driven by support for the September 2021 release of </w:t>
      </w:r>
      <w:r>
        <w:rPr>
          <w:rFonts w:ascii="Times New Roman" w:cs="Times New Roman" w:eastAsia="Times New Roman" w:hAnsi="Times New Roman"/>
          <w:sz w:val="18"/>
          <w:szCs w:val="18"/>
          <w:i w:val="1"/>
          <w:iCs w:val="1"/>
          <w:color w:val="auto"/>
        </w:rPr>
        <w:t>MY LITTLE PONY: A NEW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GENERATION </w:t>
      </w:r>
      <w:r>
        <w:rPr>
          <w:rFonts w:ascii="Times New Roman" w:cs="Times New Roman" w:eastAsia="Times New Roman" w:hAnsi="Times New Roman"/>
          <w:sz w:val="18"/>
          <w:szCs w:val="18"/>
          <w:color w:val="auto"/>
        </w:rPr>
        <w:t>with no comparable releases in 2022. In addition, the advertising expense decrease was the result of lower expense within the Wizards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Coast and Digital Gaming segment, compared to the first nine months of 2021, where advertising expense was driven by support for the launch of the mobile version of </w:t>
      </w:r>
      <w:r>
        <w:rPr>
          <w:rFonts w:ascii="Times New Roman" w:cs="Times New Roman" w:eastAsia="Times New Roman" w:hAnsi="Times New Roman"/>
          <w:sz w:val="18"/>
          <w:szCs w:val="18"/>
          <w:i w:val="1"/>
          <w:iCs w:val="1"/>
          <w:color w:val="auto"/>
        </w:rPr>
        <w:t>Magic: The Gathering Arena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Dungeons &amp; Dragons: Dark Alliance,</w:t>
      </w:r>
      <w:r>
        <w:rPr>
          <w:rFonts w:ascii="Times New Roman" w:cs="Times New Roman" w:eastAsia="Times New Roman" w:hAnsi="Times New Roman"/>
          <w:sz w:val="18"/>
          <w:szCs w:val="18"/>
          <w:color w:val="auto"/>
        </w:rPr>
        <w:t xml:space="preserve"> with no comparable releases in 2022. Additionally, in 2022 the Company managed its consumer products advertising programs closer to key holiday and retailer planned promotional periods which contributed the decrease during the first nine months of 2022.</w:t>
      </w:r>
    </w:p>
    <w:p>
      <w:pPr>
        <w:spacing w:after="0" w:line="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Amortization of intangible assets was $81.2 million, or 1.9% of net revenues, for the nine months ended September 25, 2022 compared to $90.3 million, or 2.0% of net revenues, in the first nine months of 2021. The decrease in 2022 is related to the discontinuation of amortization related to the eOne Music intangible assets following the sale of eOne Music in the third quarter of 2021. This decline was partially offset by additional expense associated with assets acquired through the D&amp;D Beyond Acquisition during the second quarter of 2022.</w:t>
      </w:r>
    </w:p>
    <w:p>
      <w:pPr>
        <w:spacing w:after="0" w:line="72"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 xml:space="preserve">For the nine months ended September 25, 2022, the Company's selling, distribution and administration expenses remained relatively flat at $1,000.1 million, or 23.9% of net revenues compared to $1,004.7 million, or 22.8% of net revenues, for the nine months ended September 26, 2021. Selling, distribution and administration expenses in the first nine months of 2022 includes charges of $28.5 million related to the exit of certain non-core businesses within the Entertainment segment consisting of $21.3 million of severance charges and $7.2 million of consultant fees. In addition to these charges, the 2022 expense reflects higher marketing and sales costs, most notably within the Consumer Products segment, partially offset by lower depreciation expense during the first nine months of 2022 compared to the first nine months of 2021, associated with the launch of </w:t>
      </w:r>
      <w:r>
        <w:rPr>
          <w:rFonts w:ascii="Times New Roman" w:cs="Times New Roman" w:eastAsia="Times New Roman" w:hAnsi="Times New Roman"/>
          <w:sz w:val="17"/>
          <w:szCs w:val="17"/>
          <w:i w:val="1"/>
          <w:iCs w:val="1"/>
          <w:color w:val="auto"/>
        </w:rPr>
        <w:t>Dungeons &amp; Dragons: Dark Alliance.</w:t>
      </w:r>
    </w:p>
    <w:p>
      <w:pPr>
        <w:spacing w:after="0" w:line="6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loss on assets held for sale of $23.1 million, or 0.6% of net revenues, represents non-cash impairment charges associated with the exit of certain non-core businesses within the Entertainment segment.</w:t>
      </w:r>
    </w:p>
    <w:p>
      <w:pPr>
        <w:spacing w:after="0" w:line="5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loss on disposal of business of $101.8 million, or 2.3% of net revenues during the first nine months of 2021, represents a non-cash impairment charge associated with the disposition of eOne Music.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NON-OPERATING EXPENSE (INCOME)</w:t>
      </w:r>
    </w:p>
    <w:p>
      <w:pPr>
        <w:spacing w:after="0" w:line="12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Interest expense for the third quarter and first nine months of 2022 totaled $41.9 million and $125.2 million, respectively, compared to $43.3 million and $137.3 million in the third quarter and first nine months of 2021, respectively. The decrease in interest expense during the third quarter and first nine months of 2022 primarily reflects long-term debt repayments made during the fourth quarter of 2021 and the first nine months of 2022, related to borrowings utilized for the eOne Acquisition.</w:t>
      </w:r>
    </w:p>
    <w:p>
      <w:pPr>
        <w:spacing w:after="0" w:line="7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Interest income was $3.2 million and $8.0 million for the third quarter and first nine months of 2022, respectively, compared to $1.8 million and $4.2 million in the third quarter and first nine months of 2021, respectively. Higher average interest rates in 2022 compared to 2021 contributed to the increase for the three and nine-month periods.</w:t>
      </w:r>
    </w:p>
    <w:p>
      <w:pPr>
        <w:spacing w:after="0" w:line="6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Other (income), net was $(10.0) million and $(9.5) million for the third quarter and first nine months of 2022, respectively, compared to other expense (income), net of $3.0 million and $(35.3) million in the third quarter and first nine months of 2021, respectively. The decrease in 2022 was primarily driven by a $26.7 million gain from a legal settlement realized during the first nine months of 2021 with no comparable gain in 2022 and lower earnings from the Company's joint venture with Discovery, partially offset by foreign exchange gains during the first nine months of 2022 compared to losses during the first nine months of 2021. Other income during the third quarter of 2022 reflects the $9.1 million expense in the third quarter of 2021 for debt extinguishment costs in connection with the early repayment of the Company's $300.0 million of 2.6% notes, with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537845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43" w:name="page44"/>
    <w:bookmarkEnd w:id="43"/>
    <w:p>
      <w:pPr>
        <w:ind w:right="1900"/>
        <w:spacing w:after="0" w:line="414" w:lineRule="auto"/>
        <w:rPr>
          <w:sz w:val="20"/>
          <w:szCs w:val="20"/>
          <w:color w:val="auto"/>
        </w:rPr>
      </w:pPr>
      <w:r>
        <w:rPr>
          <w:rFonts w:ascii="Times New Roman" w:cs="Times New Roman" w:eastAsia="Times New Roman" w:hAnsi="Times New Roman"/>
          <w:sz w:val="18"/>
          <w:szCs w:val="18"/>
          <w:color w:val="auto"/>
        </w:rPr>
        <w:t xml:space="preserve">comparable cost in 2022 and foreign exchange gains during the third quarter of 2022 compared to losses during the third of 2021. </w:t>
      </w:r>
      <w:r>
        <w:rPr>
          <w:rFonts w:ascii="Times New Roman" w:cs="Times New Roman" w:eastAsia="Times New Roman" w:hAnsi="Times New Roman"/>
          <w:sz w:val="18"/>
          <w:szCs w:val="18"/>
          <w:b w:val="1"/>
          <w:bCs w:val="1"/>
          <w:u w:val="single" w:color="auto"/>
          <w:color w:val="auto"/>
        </w:rPr>
        <w:t>INCOME TAXES</w:t>
      </w:r>
    </w:p>
    <w:p>
      <w:pPr>
        <w:spacing w:after="0" w:line="1"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Income tax expense totaled $37.4 million on pre-tax income of $165.6 million in the third quarter of 2022 compared to income tax expense of $68.5 million on pre-tax income of $323.4 million in the third quarter of 2021. For the first nine months of 2022, income tax expense totaled $94.1 million on pre-tax income of $425.7 million, compared to an income tax expense of $143.5 million on pretax income of $494.0 million for the first nine months of 2021. Both periods were impacted by discrete tax events including the accrual of potential interest and penalties on uncertain tax positions. During the first nine months of 2022, favorable discrete tax adjustments were a net benefit of $6.7 million compared to a net expense of $8.8 million in the first nine months of 2021. The favorable discrete tax adjustments for the first nine months of 2022 are primarily associated with (i) the release of certain valuation allowances during the first quarter; (ii) the decrease to our liability for uncertain tax positions that resulted from statutes of limitations expiring in certain jurisdictions; and (iii) a benefit on the loss on assets held for sale in the third quarter. The unfavorable discrete tax adjustments for the first nine months of 2021 were primarily associated with (i) the revaluation of net deferred tax liabilities as a result of the United Kingdom's ("UK") enactment of Finance Act 2021 during the second quarter, which increases the UK corporate income tax rate from 19% to 25% as of April 1, 2023; (ii) a one-time tax charge related to an ongoing tax audit; (iii) a release of a valuation allowance on net operating losses that offsets income received from a one-time legal settlement; and</w:t>
      </w:r>
    </w:p>
    <w:p>
      <w:pPr>
        <w:spacing w:after="0" w:line="4" w:lineRule="exact"/>
        <w:rPr>
          <w:sz w:val="20"/>
          <w:szCs w:val="20"/>
          <w:color w:val="auto"/>
        </w:rPr>
      </w:pPr>
    </w:p>
    <w:p>
      <w:pPr>
        <w:ind w:right="20" w:firstLine="8"/>
        <w:spacing w:after="0" w:line="253" w:lineRule="auto"/>
        <w:tabs>
          <w:tab w:leader="none" w:pos="30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tax benefits, including the reversal of uncertain tax positions and operational tax planning. In addition, included in first nine months of 2021 is a goodwill impairment charge on the sale of eOne Music, recorded in the second quarter of 2021 for which there is no corresponding tax benefit. Absent discrete items, the tax rates for the first nine months of 2022 and 2021 were 22.3% and 23.3% respectively. The decrease in the base rate to 22.3% for the first nine months of 2022 is primarily due to the mix of jurisdictions where the Company earned its profits.</w:t>
      </w:r>
    </w:p>
    <w:p>
      <w:pPr>
        <w:spacing w:after="0" w:line="8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On August 16, 2022, President Biden signed into law the Inflation Reduction Act, which included various tax provisions. The two main tax provisions, a 15% alternative corporate minimum tax based on financial statement income and a 1% excise tax on corporate stock buy backs, are not expected to have a material impact to the Company.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Seasonality and Shipments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Within the retail sector, the Company’s revenue pattern from toys and games and licensed consumer products continues to show the second half of the year to be more significant to its overall business for the full year. The Company expects that this concentration will continue. The concentration of sales in the second half of the year increases the risk of (a) underproduction of popular items, (b) overproduction of less popular items, and (c) failure to achieve tight and compressed shipping schedules.</w:t>
      </w:r>
    </w:p>
    <w:p>
      <w:pPr>
        <w:spacing w:after="0" w:line="7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business of the Company is characterized by customer order patterns which vary from year to year largely because of differences in the degree of consumer acceptance of a product line, product availability, marketing strategies, inventory levels, policies of retailers and differences in overall economic conditions. Larger retailers generally maintain lower inventories throughout the year and purchase a greater percentage of product within or close to the fourth quarter holiday consumer buying season, which includes Christmas.</w:t>
      </w:r>
    </w:p>
    <w:p>
      <w:pPr>
        <w:spacing w:after="0" w:line="7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Prior to the onset of the COVID-19 pandemic, quick response inventory management practices being used by retailers, along with growth in ecommerce resulted in the increasing trend of order placement for immediate delivery and fewer orders being placed well in advance of shipment. Retailers preferred timing their orders for fulfillment by suppliers closer to the time of purchase by consumers. To the extent that retailers did not sell as much of their year-end inventory purchases during the holiday selling season as they had anticipated, their demand for additional product earlier in the following fiscal year could be curtailed, thus negatively impacting the Company’s future revenues. However, more recently the Company's inventory levels and retailer order patterns reflect the impact of global supply chain disruptions, which began in late 2020 as economies slowly recovered from COVID-19 shutdowns, while consumer demand began to outpace the capacity of the global supply chain infrastructure. Supply chain constraints, including overcrowding of cargo ports and shipping container and truck transportation shortages led to higher costs for ocean, air and over the road freight and delays in the availability of products, due to extended inventory transit times. These and other disruptions continued to some extent through the third quarter of 2022. During the first half of 2022, the Company accelerated certain inventory purchases, to ensure sufficient finished goods and raw material availability ahead of expected periods of high consumer demand. However, during the third quarter of 2022, the effects of supply chain disruptions began to subside, most notably the U.S, and Europe, leading to higher inventory levels as compared to prior years. As a result, the Company is launching incremental year-over-year promotional activity behind key holiday toy and game items to reduce inventory on hand and at retail.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537845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44" w:name="page45"/>
    <w:bookmarkEnd w:id="44"/>
    <w:p>
      <w:pPr>
        <w:ind w:right="120"/>
        <w:spacing w:after="0" w:line="266" w:lineRule="auto"/>
        <w:rPr>
          <w:sz w:val="20"/>
          <w:szCs w:val="20"/>
          <w:color w:val="auto"/>
        </w:rPr>
      </w:pPr>
      <w:r>
        <w:rPr>
          <w:rFonts w:ascii="Times New Roman" w:cs="Times New Roman" w:eastAsia="Times New Roman" w:hAnsi="Times New Roman"/>
          <w:sz w:val="18"/>
          <w:szCs w:val="18"/>
          <w:color w:val="auto"/>
        </w:rPr>
        <w:t>Unlike the Company's retail sales patterns, revenue patterns from the Company's entertainment businesses fluctuate based on the timing and popularity of television, film, streaming and digital content releases. Release dates are determined by factors including the timing of holiday periods, geographical release dates and competition in the market.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Russian Sanctions</w:t>
      </w:r>
    </w:p>
    <w:p>
      <w:pPr>
        <w:spacing w:after="0" w:line="12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As a result of the military conflict in Ukraine, which has led to sanctions and other penalties being levied by the United States, European Union and other countries against Russia, the Company has paused all shipments and new content distribution into Russia. The impact to the Company’s operating results includes a loss of both revenue and operating profit. As of the nine-month period ended September 25, 2022, the Company has exhausted all locally held inventories, recovered all receivables and released all reserves in Russia. For the full year 2021, our revenue in Russia was $115 million, with approximately 70% earned in the second half of the year. Any longstanding disruptions may magnify the impact of other risks described in this Quarterly Report on Form 10-Q and in the Company's Annual Report on Form 10-K for the year ended December 26, 2021.</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Pronouncement Updates</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As of September 25, 2022, there were no recently adopted accounting standards that had a material effect on the Company’s financial statements. The Company's significant accounting policies are summarized in note 1 to the consolidated financial statements included in the Company's Annual Report on Form 10-K for the year ended December 26, 2021.</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1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 xml:space="preserve">In March of 2020, the FASB issued Accounting Standards Update No. 2020-04 (ASU 2020-04) Reference Rate Reform (Topic 848): </w:t>
      </w:r>
      <w:r>
        <w:rPr>
          <w:rFonts w:ascii="Times New Roman" w:cs="Times New Roman" w:eastAsia="Times New Roman" w:hAnsi="Times New Roman"/>
          <w:sz w:val="18"/>
          <w:szCs w:val="18"/>
          <w:i w:val="1"/>
          <w:iCs w:val="1"/>
          <w:color w:val="auto"/>
        </w:rPr>
        <w:t>Facilitation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Effects of Reference Rate Reform on Financial Reporting. </w:t>
      </w:r>
      <w:r>
        <w:rPr>
          <w:rFonts w:ascii="Times New Roman" w:cs="Times New Roman" w:eastAsia="Times New Roman" w:hAnsi="Times New Roman"/>
          <w:sz w:val="18"/>
          <w:szCs w:val="18"/>
          <w:color w:val="auto"/>
        </w:rPr>
        <w:t>The amendments in this update provide optional expedients and exceptions for applying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GAAP to contracts, hedging relationships, and other transactions, for a limited period of time, to ease the potential burden of recognizing the effects of reference rate reform on financial reporting. The amendments in this update apply to contracts, hedging relationships and other transactions that reference the London Inter-Bank Offered Rate ("LIBOR") or another reference rate expected to be discontinued due to the global transition away from LIBOR and certain other interbank offered rates. An entity may elect to apply the amendments provided by this update beginning March 12, 2020 through December 31, 2022. The change from LIBOR to an alternate rate has not had a material impact on the Company's consolidated financial statements.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has historically generated a significant amount of cash from operations. In the first nine months of 2022 and 2021, the Company primarily funded its operations and liquidity needs through cash on hand and from cash flows from operations, and when needed, used borrowings under its available lines of credit. In addition, the Company’s Entertainment operating segment used production financing to fund certain of its television and film productions which are arranged on an individual production basis using either the Company's revolving film and television production credit facility or through special purpose production subsidiaries. For more information on the Company's production financing facilities, including expected future repayments, see note 7 to the consolidated financial statements included in Part I of this Form 10-Q.</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expects to continue to fund its working capital needs primarily through available cash, cash flows from operations and from production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financing facilities and, if needed, by issuing commercial paper or borrowing under its revolving credit agreement. In the event that the Company is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able to issue commercial paper, the Company intends to utilize its available lines of credit. The Company believes that the funds available to it, including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expected to be generated from operations, funds available through its commercial paper program or its available lines of credit and production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financing, are adequate to meet its working capital needs for the remainder of 2022, including the repayment of the current portion of long-term debt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$122.6 million, as shown on the consolidated balance sheets, which represents the current portion of required quarterly principal amortization payments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term loan facilities and other short-term production financing facilities, each as described below. The Company may also issue debt or equity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time to time, to provide additional sources of liquidity when pursuing opportunities to enhance our long-term competitive position, while maintaining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strong balance sheet. However, unexpected events or circumstances such as material operating losses or increased capital or other expenditures, 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inability to otherwise access the commercial paper market, may reduce or eliminate the availability of external financial resources. In addition, significant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disruptions to credit markets may also reduce or eliminate the availability of external financial resources. Although the Company believes the risk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nonperformance by the counterparties to its financial facilities is not significant, in times of severe economic downturn in the credit markets, it is possible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one or more sources of external financing may be unable or unwilling to provide funding to the Company.</w:t>
      </w:r>
    </w:p>
    <w:p>
      <w:pPr>
        <w:spacing w:after="0" w:line="9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As of September 25, 2022, the Company's cash and cash equivalents totaled $551.6 million, of which $6.1 million is restricted under the Company’s production financing facilities.</w:t>
      </w:r>
    </w:p>
    <w:p>
      <w:pPr>
        <w:spacing w:after="0" w:line="54"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Prior to 2017, deferred income taxes had not been provided on the majority of undistributed earnings of international subsidiaries as such earnings were indefinitely reinvested by the Company. Accordingly, such international cash balances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521335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99" w:right="379" w:bottom="1440" w:gutter="0" w:footer="0" w:header="0"/>
        </w:sectPr>
      </w:pPr>
    </w:p>
    <w:bookmarkStart w:id="45" w:name="page46"/>
    <w:bookmarkEnd w:id="45"/>
    <w:p>
      <w:pPr>
        <w:ind w:right="20"/>
        <w:spacing w:after="0" w:line="254" w:lineRule="auto"/>
        <w:rPr>
          <w:sz w:val="20"/>
          <w:szCs w:val="20"/>
          <w:color w:val="auto"/>
        </w:rPr>
      </w:pPr>
      <w:r>
        <w:rPr>
          <w:rFonts w:ascii="Times New Roman" w:cs="Times New Roman" w:eastAsia="Times New Roman" w:hAnsi="Times New Roman"/>
          <w:sz w:val="18"/>
          <w:szCs w:val="18"/>
          <w:color w:val="auto"/>
        </w:rPr>
        <w:t>not available to fund cash requirements in the United States unless the Company was to change its reinvestment policy. The Company has maintained sufficient sources of cash in the United States to fund cash requirements without the need to repatriate any funds. The Tax Cuts and Jobs Act of 2017 ("the Tax Act") provided significant changes to the U.S. tax system including the elimination of the ability to defer U.S. income tax on unrepatriated earnings by imposing a one-time mandatory deemed repatriation tax on undistributed foreign earnings. As of September 25, 2022, the Company had a total liability of $137.7 million related to this tax, $34.4 million is reflected in current liabilities while the remaining long-term payable related to the Tax Act of $103.3 million is presented within other liabilities, non-current on the consolidated balance sheets included in Part I of this Form 10-Q. As permitted by the Tax Act, the Company will pay the transition tax in annual interest-free installments through 2025. As a result, in the future, the related earnings in foreign jurisdictions will be made available with greater investment flexibility. The majority of the Company’s cash and cash equivalents held outside of the United States as of September 25, 2022 are denominated in the U.S. dollar.</w:t>
      </w:r>
    </w:p>
    <w:p>
      <w:pPr>
        <w:spacing w:after="0" w:line="148"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Because of the seasonality in the Company's cash flow, management believes that on an interim basis, rather than discussing only its cash flows, a better understanding of its liquidity and capital resources can be obtained through a discussion of the various balance sheet categories. Also, as several of the major categories, including cash and cash equivalents, accounts receivable, inventories and short-term borrowings, fluctuate significantly from quarter to quarter, due to the seasonality of its business, management believes that a comparison to the comparable period in the prior year is generally more meaningful than a comparison to the prior year-end.</w:t>
      </w:r>
    </w:p>
    <w:p>
      <w:pPr>
        <w:spacing w:after="0" w:line="129" w:lineRule="exact"/>
        <w:rPr>
          <w:sz w:val="20"/>
          <w:szCs w:val="20"/>
          <w:color w:val="auto"/>
        </w:rPr>
      </w:pPr>
    </w:p>
    <w:p>
      <w:pPr>
        <w:ind w:right="240"/>
        <w:spacing w:after="0" w:line="276" w:lineRule="auto"/>
        <w:rPr>
          <w:sz w:val="20"/>
          <w:szCs w:val="20"/>
          <w:color w:val="auto"/>
        </w:rPr>
      </w:pPr>
      <w:r>
        <w:rPr>
          <w:rFonts w:ascii="Times New Roman" w:cs="Times New Roman" w:eastAsia="Times New Roman" w:hAnsi="Times New Roman"/>
          <w:sz w:val="18"/>
          <w:szCs w:val="18"/>
          <w:color w:val="auto"/>
        </w:rPr>
        <w:t>The table below outlines key financial information (in millions of dollars) pertaining to our consolidated balance sheets including the period-over-period changes.</w:t>
      </w:r>
    </w:p>
    <w:tbl>
      <w:tblPr>
        <w:tblLayout w:type="fixed"/>
        <w:tblInd w:w="0" w:type="dxa"/>
        <w:tblCellMar>
          <w:top w:w="0" w:type="dxa"/>
          <w:left w:w="0" w:type="dxa"/>
          <w:bottom w:w="0" w:type="dxa"/>
          <w:right w:w="0" w:type="dxa"/>
        </w:tblCellMar>
      </w:tblPr>
      <w:tr>
        <w:trPr>
          <w:trHeight w:val="175"/>
        </w:trPr>
        <w:tc>
          <w:tcPr>
            <w:tcW w:w="63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ind w:right="110"/>
              <w:spacing w:after="0" w:line="175" w:lineRule="exact"/>
              <w:rPr>
                <w:sz w:val="20"/>
                <w:szCs w:val="20"/>
                <w:color w:val="auto"/>
              </w:rPr>
            </w:pPr>
            <w:r>
              <w:rPr>
                <w:rFonts w:ascii="Times New Roman" w:cs="Times New Roman" w:eastAsia="Times New Roman" w:hAnsi="Times New Roman"/>
                <w:sz w:val="18"/>
                <w:szCs w:val="18"/>
                <w:b w:val="1"/>
                <w:bCs w:val="1"/>
                <w:color w:val="auto"/>
              </w:rPr>
              <w:t>September 25,</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ind w:right="110"/>
              <w:spacing w:after="0" w:line="175" w:lineRule="exact"/>
              <w:rPr>
                <w:sz w:val="20"/>
                <w:szCs w:val="20"/>
                <w:color w:val="auto"/>
              </w:rPr>
            </w:pPr>
            <w:r>
              <w:rPr>
                <w:rFonts w:ascii="Times New Roman" w:cs="Times New Roman" w:eastAsia="Times New Roman" w:hAnsi="Times New Roman"/>
                <w:sz w:val="18"/>
                <w:szCs w:val="18"/>
                <w:b w:val="1"/>
                <w:bCs w:val="1"/>
                <w:color w:val="auto"/>
              </w:rPr>
              <w:t>September 26,</w:t>
            </w:r>
          </w:p>
        </w:tc>
        <w:tc>
          <w:tcPr>
            <w:tcW w:w="100" w:type="dxa"/>
            <w:vAlign w:val="bottom"/>
          </w:tcPr>
          <w:p>
            <w:pPr>
              <w:spacing w:after="0"/>
              <w:rPr>
                <w:sz w:val="15"/>
                <w:szCs w:val="15"/>
                <w:color w:val="auto"/>
              </w:rPr>
            </w:pPr>
          </w:p>
        </w:tc>
        <w:tc>
          <w:tcPr>
            <w:tcW w:w="1680" w:type="dxa"/>
            <w:vAlign w:val="bottom"/>
            <w:tcBorders>
              <w:top w:val="single" w:sz="8" w:color="auto"/>
            </w:tcBorders>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8"/>
        </w:trPr>
        <w:tc>
          <w:tcPr>
            <w:tcW w:w="63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(including restricted cash of $6.1 and $94.9)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1,181.2</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0" w:type="dxa"/>
            <w:vAlign w:val="bottom"/>
          </w:tcPr>
          <w:p>
            <w:pPr>
              <w:spacing w:after="0"/>
              <w:rPr>
                <w:sz w:val="1"/>
                <w:szCs w:val="1"/>
                <w:color w:val="auto"/>
              </w:rPr>
            </w:pPr>
          </w:p>
        </w:tc>
      </w:tr>
      <w:tr>
        <w:trPr>
          <w:trHeight w:val="229"/>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1,476.6</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544.1</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0" w:type="dxa"/>
            <w:vAlign w:val="bottom"/>
          </w:tcPr>
          <w:p>
            <w:pPr>
              <w:spacing w:after="0"/>
              <w:rPr>
                <w:sz w:val="1"/>
                <w:szCs w:val="1"/>
                <w:color w:val="auto"/>
              </w:rPr>
            </w:pPr>
          </w:p>
        </w:tc>
      </w:tr>
      <w:tr>
        <w:trPr>
          <w:trHeight w:val="230"/>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528.5</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1,428.4</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30"/>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2,097.0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2,261.9</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722.5</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bl>
    <w:p>
      <w:pPr>
        <w:spacing w:after="0" w:line="27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Accounts receivable decreased 19% to $1,188.8 million at September 25, 2022, compared to $1,476.6 million at September 26, 2021. The decrease in accounts receivable was driven by lower sales and improved collections during the first nine months of 2022. Days sales outstanding decreased from 68 days at September 26, 2021 to 65 days at September 25, 2022.</w:t>
      </w:r>
    </w:p>
    <w:p>
      <w:pPr>
        <w:spacing w:after="0" w:line="13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Inventories increased 55% to $844.5 million as of September 25, 2022, compared to $544.1 million at September 26, 2021. The increase in 2022 inventory balances reflects accelerated inventory purchases attributable to the Company's Consumer Products and Wizards of the Coast businesses, to mitigate the impact of certain global supply chain challenges experienced throughout 2021 and into 2022. Beginning in the third quarter of 2022, certain global supply chain constraints began to subside, most notably in the U.S. and Europe, which also contributed to the Company's higher inventory levels at September 25, 2022.</w:t>
      </w:r>
    </w:p>
    <w:p>
      <w:pPr>
        <w:spacing w:after="0" w:line="14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Prepaid expenses and other current assets increased 25% to $658.8 million at September 25, 2022 from $528.5 million at September 26, 2021. The increase was driven by higher accrued tax credit balances related to film and television production costs, due to increased productions and timing of tax credit claims, as well as higher accrued royalty and licensing balances, primarily attributable to the Company's Entertainment business and higher unrealized gains on foreign exchange contracts. These increases were partially offset by lower prepaid royalty balances in relation to the Company’s MARVEL, POWER RANGERS and DISNEY PRINCESS royalty agreements, the reclassification of certain Entertainment assets as Assets Held for Sale in relation to the exit of certain non-core businesses within the Entertainment segment and from lower prepaid tax balances during the third quarter 2022.</w:t>
      </w:r>
    </w:p>
    <w:p>
      <w:pPr>
        <w:spacing w:after="0" w:line="13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Other assets decreased 2% to $1,404.3 million at September 25, 2022 from $1,428.4 million at September 26, 2021. The decrease was primarily driven by a lower balance for the Company's investment in Discovery Family Channel, due to an impairment charge recorded in the fourth quarter of 2021 and distributions received in the first nine months of 2022, partially offset by higher deferred tax balances and higher non-current receivable balances within the Entertainment segment.</w:t>
      </w:r>
    </w:p>
    <w:p>
      <w:pPr>
        <w:spacing w:after="0" w:line="15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Accounts payable and accrued liabilities decreased 7% to $2,097.0 million at September 25, 2022 from $2,261.9 million at September 26, 2021 driven by lower incentive bonus accruals, lower accrued advertising balances reflecting lower levels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633095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46" w:name="page47"/>
    <w:bookmarkEnd w:id="46"/>
    <w:p>
      <w:pPr>
        <w:ind w:right="160"/>
        <w:spacing w:after="0" w:line="266" w:lineRule="auto"/>
        <w:rPr>
          <w:sz w:val="20"/>
          <w:szCs w:val="20"/>
          <w:color w:val="auto"/>
        </w:rPr>
      </w:pPr>
      <w:r>
        <w:rPr>
          <w:rFonts w:ascii="Times New Roman" w:cs="Times New Roman" w:eastAsia="Times New Roman" w:hAnsi="Times New Roman"/>
          <w:sz w:val="18"/>
          <w:szCs w:val="18"/>
          <w:color w:val="auto"/>
        </w:rPr>
        <w:t>expense in 2022, lower accrued freight balances due to improving supply chain conditions within certain markets, as well as the reclassification of certain Entertainment liabilities as Liabilities Held for Sale, in relation to the exit of certain non-core businesses within the Entertainment segment. These decreases were partially offset by higher accrued royalty balances related to sales of partner brand products during the first nine months of 2022.</w:t>
      </w:r>
    </w:p>
    <w:p>
      <w:pPr>
        <w:spacing w:after="0" w:line="149"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Other liabilities decreased 25% to $545.1 million at September 25, 2022 from $722.5 million at September 26, 2021. The decrease was driven by lower long-term deferred tax balances reflecting the amortization of deferred tax liabilities and the impact of foreign exchange revaluation, primarily related to the British Pound, lower long-term lease liability balances, a lower transition tax liability balance reflecting the reclassification of the 2022 installment payment due April 2023, and a lower Discovery option agreement balance due to a revaluation of the Discovery Family Channel investment during the fourth quarter of 2021.</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w:t>
      </w:r>
    </w:p>
    <w:p>
      <w:pPr>
        <w:spacing w:after="0" w:line="18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changes in the Consolidated Statement of Cash Flows, expressed in millions of dollars, for the nine-month periods ended September 25, 2022 and September 26, 2021.</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900" w:type="dxa"/>
            <w:vAlign w:val="bottom"/>
            <w:tcBorders>
              <w:bottom w:val="single" w:sz="8" w:color="CCEEFF"/>
            </w:tcBorders>
          </w:tcPr>
          <w:p>
            <w:pPr>
              <w:spacing w:after="0"/>
              <w:rPr>
                <w:sz w:val="21"/>
                <w:szCs w:val="21"/>
                <w:color w:val="auto"/>
              </w:rPr>
            </w:pPr>
          </w:p>
        </w:tc>
        <w:tc>
          <w:tcPr>
            <w:tcW w:w="1600" w:type="dxa"/>
            <w:vAlign w:val="bottom"/>
            <w:tcBorders>
              <w:top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w w:val="99"/>
              </w:rPr>
              <w:t>September 25, 2022</w:t>
            </w:r>
          </w:p>
        </w:tc>
        <w:tc>
          <w:tcPr>
            <w:tcW w:w="100" w:type="dxa"/>
            <w:vAlign w:val="bottom"/>
            <w:tcBorders>
              <w:bottom w:val="single" w:sz="8" w:color="CCEEFF"/>
            </w:tcBorders>
          </w:tcPr>
          <w:p>
            <w:pPr>
              <w:spacing w:after="0"/>
              <w:rPr>
                <w:sz w:val="21"/>
                <w:szCs w:val="21"/>
                <w:color w:val="auto"/>
              </w:rPr>
            </w:pPr>
          </w:p>
        </w:tc>
        <w:tc>
          <w:tcPr>
            <w:tcW w:w="16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26, 2021</w:t>
            </w:r>
          </w:p>
        </w:tc>
      </w:tr>
      <w:tr>
        <w:trPr>
          <w:trHeight w:val="20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(utilized for):</w:t>
            </w:r>
          </w:p>
        </w:tc>
        <w:tc>
          <w:tcPr>
            <w:tcW w:w="5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0"/>
        </w:trPr>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activities</w:t>
            </w: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8"/>
              </w:rPr>
              <w:t>262.2</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685.6</w:t>
            </w:r>
          </w:p>
        </w:tc>
      </w:tr>
      <w:tr>
        <w:trPr>
          <w:trHeight w:val="229"/>
        </w:trPr>
        <w:tc>
          <w:tcPr>
            <w:tcW w:w="7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Investing activities</w:t>
            </w:r>
          </w:p>
        </w:tc>
        <w:tc>
          <w:tcPr>
            <w:tcW w:w="58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rPr>
              <w:t>(265.8)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w:t>
            </w:r>
          </w:p>
        </w:tc>
      </w:tr>
      <w:tr>
        <w:trPr>
          <w:trHeight w:val="234"/>
        </w:trPr>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Financing activities</w:t>
            </w:r>
          </w:p>
        </w:tc>
        <w:tc>
          <w:tcPr>
            <w:tcW w:w="580" w:type="dxa"/>
            <w:vAlign w:val="bottom"/>
          </w:tcPr>
          <w:p>
            <w:pPr>
              <w:spacing w:after="0"/>
              <w:rPr>
                <w:sz w:val="20"/>
                <w:szCs w:val="20"/>
                <w:color w:val="auto"/>
              </w:rPr>
            </w:pPr>
          </w:p>
        </w:tc>
        <w:tc>
          <w:tcPr>
            <w:tcW w:w="102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(443.0)</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(1,223.5)</w:t>
            </w:r>
          </w:p>
        </w:tc>
      </w:tr>
    </w:tbl>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operating activities in the first nine months of 2022 was $262.2 million compared to $685.6 million in the first nine months of</w:t>
      </w:r>
    </w:p>
    <w:p>
      <w:pPr>
        <w:spacing w:after="0" w:line="27" w:lineRule="exact"/>
        <w:rPr>
          <w:sz w:val="20"/>
          <w:szCs w:val="20"/>
          <w:color w:val="auto"/>
        </w:rPr>
      </w:pPr>
    </w:p>
    <w:p>
      <w:pPr>
        <w:jc w:val="both"/>
        <w:ind w:right="80"/>
        <w:spacing w:after="0" w:line="260" w:lineRule="auto"/>
        <w:rPr>
          <w:sz w:val="20"/>
          <w:szCs w:val="20"/>
          <w:color w:val="auto"/>
        </w:rPr>
      </w:pPr>
      <w:r>
        <w:rPr>
          <w:rFonts w:ascii="Times New Roman" w:cs="Times New Roman" w:eastAsia="Times New Roman" w:hAnsi="Times New Roman"/>
          <w:sz w:val="18"/>
          <w:szCs w:val="18"/>
          <w:color w:val="auto"/>
        </w:rPr>
        <w:t>2021. The $423.4 million decrease in net cash provided by operating activities was primarily attributable to higher working capital requirements, including higher inventory spend and cash utilized for payables and accrued liabilities.</w:t>
      </w:r>
    </w:p>
    <w:p>
      <w:pPr>
        <w:spacing w:after="0" w:line="14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Net cash utilized for investing activities was $265.8 million in the first nine months of 2022 compared to net cash provided by investing activities of $277.5 million in the first nine months of 2021. The increase in cash used reflects a cash payment of $146.3 million related to the D&amp;D Beyond Acquisition during the second quarter of 2022. Investing activities in 2021 include $379.2 million of proceeds, net of cash sold, from the sale of eOne Music. Additions to property, plant and equipment were $130.7 million in the first nine months of 2022 compared to $98.1 million in the first nine months of 2021.</w:t>
      </w:r>
    </w:p>
    <w:p>
      <w:pPr>
        <w:spacing w:after="0" w:line="13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Net cash utilized for financing activities was $443.0 million in the first nine months of 2022 compared to $1,223.5 million in the first nine months of 2021. Financing activities in the first nine months of 2022 include payments totaling $72.5 million related to the $1.0 billion in term loans described below, consisting of a $50.0 million principal and quarterly principal amortization payment of $22.5 million toward the Five-Year Tranche loan, as well as drawdowns of $204.5 million and repayments of $189.2 million related to production financing loans and cash payments of $125.0 million to repurchases the Company's common stock.</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Financing activities in the first nine months of 2021 include:</w:t>
      </w:r>
    </w:p>
    <w:p>
      <w:pPr>
        <w:spacing w:after="0" w:line="117" w:lineRule="exact"/>
        <w:rPr>
          <w:sz w:val="20"/>
          <w:szCs w:val="20"/>
          <w:color w:val="auto"/>
        </w:rPr>
      </w:pPr>
    </w:p>
    <w:p>
      <w:pPr>
        <w:ind w:left="660" w:right="160" w:hanging="328"/>
        <w:spacing w:after="0" w:line="282"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early repayment of $300.0 million aggregate principal of 2.60% Notes due 2022 and related debt extinguishment costs of $9.1 million during the third quarter;</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 of $300.0 million aggregate principal amount of 3.15% Notes due 2021, during the first quarter;</w:t>
      </w:r>
    </w:p>
    <w:p>
      <w:pPr>
        <w:spacing w:after="0" w:line="117" w:lineRule="exact"/>
        <w:rPr>
          <w:rFonts w:ascii="Times New Roman" w:cs="Times New Roman" w:eastAsia="Times New Roman" w:hAnsi="Times New Roman"/>
          <w:sz w:val="18"/>
          <w:szCs w:val="18"/>
          <w:color w:val="auto"/>
        </w:rPr>
      </w:pPr>
    </w:p>
    <w:p>
      <w:pPr>
        <w:jc w:val="both"/>
        <w:ind w:left="660" w:right="80" w:hanging="328"/>
        <w:spacing w:after="0" w:line="266"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totaling $372.5 million related to the $1.0 billion in term loans described below consisting of $300.0 million for the remaining principal balance of the Three-Year Tranche loans and $50.0 million principal and quarterly principal amortization payments totaling $22.5 million toward the Five-Year Tranche loan; and</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drawdowns of $127.6 million and repayments of $89.6 million related to production financing loans.</w:t>
      </w:r>
    </w:p>
    <w:p>
      <w:pPr>
        <w:spacing w:after="0" w:line="117"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Dividends paid in the first nine months of 2022 totaled $288.6 million, compared to $280.7 million in the first nine months of 2021 reflecting a higher dividend rate commencing with the May 2022 dividend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521335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Cash</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Company commits to inventory production, advertising and marketing expenditures in support of its consumer products business, prior to the peak fourth quarter retail selling season. Accounts receivable typically increase during the third and fourth quarter as customers increase their purchases to meet consumer demand expected in the holiday selling season. Due to the concentrated timeframe of this selling period, payments for these accounts receivable are generally not due until the fourth quarter or early in the first quarter of the subsequent year. This timing difference between expenditures and cash collections on accounts receivable sometimes makes it necessary for the Company to borrow amounts during the latter part of the year. In the Company's entertainment business, expenditures of cash for productions are often made well in advance of sale and delivery of the content produced. Trading card and digital gaming revenues have shorter collection periods, but product development expense often occurs years prior to release and revenue generation. During the first nine months of 2022 and 2021, the Company primarily used cash from operations and, to a lesser extent, borrowings under available lines of credit, in particular production financing vehicles, to fund its working capital.</w:t>
      </w:r>
    </w:p>
    <w:p>
      <w:pPr>
        <w:spacing w:after="0" w:line="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has an agreement with a group of banks which provides for a commercial paper program (the "Program"). Under the Program, at the request of the Company and subject to market conditions, the banks may either purchase from the Company, or arrange for the sale by the Company, of unsecured commercial paper notes. The Company may issue notes from time to time up to an aggregate principal amount outstanding at any given time of $1.0 billion. The maturities of the notes may vary but may not exceed 397 days. The notes are sold under customary terms in the commercial paper market and are issued at a discount to par, or alternatively, sold at par and bear varying interest rates based on a fixed or floating rate basis. The interest rates vary based on market conditions and the ratings assigned to the notes by the credit rating agencies at the time of issuance. Subject to market conditions, the Company intends to utilize the Program as its primary short-term borrowing facility and does not intend to sell unsecured commercial paper notes in excess of the available amount under the revolving credit agreement discussed below. If, for any reason, the Company is unable to access the commercial paper market, the Company intends to use the revolving credit agreement to meet the Company's short-term liquidity needs. At September 25, 2022, the Company had no outstanding borrowings related to the Program.</w:t>
      </w:r>
    </w:p>
    <w:p>
      <w:pPr>
        <w:spacing w:after="0" w:line="8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has a second amended and restated revolving credit agreement with Bank of America, N.A., as administrative agent, swing line lender and a letter of credit issuer and lender and certain other financial institutions, as lenders thereto (the "Amended Revolving Credit Agreement"), which provides the Company with commitments having a maximum aggregate principal amount of $1.5 billion. The Amended Revolving Credit Agreement also provides for a potential additional incremental commitment increase of up to $500.0 million subject to agreement of the lenders. The Amended Revolving Credit Agreement contains certain financial covenants setting forth leverage and coverage requirements, and certain other limitations typical of an investment grade facility, including with respect to liens, mergers and incurrence of indebtedness. The Amended Revolving Credit Agreement extends through September 20, 2024. The Company was in compliance with all covenants as of September 25, 2022. The Company had no borrowings outstanding under its committed revolving credit facility as of September 25, 2022. However, letters of credit outstanding under this facility as of September 25, 2022 were approximately $3.1 million. Amounts available and unused under the committed line at September 25, 2022 were approximately $1.5 billion, inclusive of borrowings under the Company’s commercial paper program. The Company also has other uncommitted lines from various banks, of which approximately $8.3 million was utilized at September 25, 2022. Of the amount utilized under, or supported by, the uncommitted lines, approximately $7.5 million and $0.8 million represent letters of credit and outstanding short-term borrowings, respectively.</w:t>
      </w:r>
    </w:p>
    <w:p>
      <w:pPr>
        <w:spacing w:after="0" w:line="8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September of 2019, the Company entered into a $1.0 billion Term Loan Agreement (the "Term Loan Agreement") with Bank of America N.A. (“Bank of America”), as administrative agent, and certain financial institutions as lenders, pursuant to which such lenders committed to provide, contingent upon the completion of the eOne Acquisition and certain other customary conditions to funding, (1) a three-year senior unsecured term loan facility in an aggregate principal amount of $400.0 million (the “Three-Year Tranche”) and (2) a five-year senior unsecured term loan facility in an aggregate principal amount of $600.0 million (the “Five-Year Tranche” and together with the Three-Year Tranche, the “Term Loan Facilities”). On December 30, 2019, the Company completed the acquisition of eOne and on that date, borrowed the full amount of $1.0 billion under the Term Loan Facilities. As of September 25, 2022, the Company has fully repaid the Three-Year Tranche $400.0 million principal term loan, and of the Five-Year Tranche $600.0 million principal balance, the Company has repaid a total of $275.0 million in the following increments: $22.5 million in 2020; $180.0 million in 2021; and, $72.5 million in the first nine months of 2022 consisting of $50.0 million principal and a quarterly principal amortization payment of $22.5 million. The Company is subject to certain financial covenants contained in this agreement and as of September 25, 2022, the Company was in compliance with these covenants. The terms of the Term Loan Facilities are described in note 7 to the consolidated financial statements included in Part I of this Form 10-Q.</w:t>
      </w:r>
    </w:p>
    <w:p>
      <w:pPr>
        <w:spacing w:after="0" w:line="8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During November 2019, in conjunction with the Company's acquisition of eOne, the Company issued an aggregate of $2.4 billion of senior unsecured debt securities (collectively, the "Notes") consisting of the following tranches: $300 million of notes due 2022 (the "2022 Notes") that bear interest at a fixed rate of 2.60%; $500 million of notes due 2024 (the "2024 Notes")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530860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48" w:name="page49"/>
    <w:bookmarkEnd w:id="48"/>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bear interest at a fixed rate of 3.00%; $675 million of notes due 2026 (the "2026 Notes") that bear interest at a fixed rate of 3.55%; and $900 million of notes due 2029 (the "2029 Notes") that bear interest at a fixed rate of 3.90%. During the third quarter of 2021 </w:t>
      </w:r>
      <w:r>
        <w:rPr>
          <w:rFonts w:ascii="Times New Roman" w:cs="Times New Roman" w:eastAsia="Times New Roman" w:hAnsi="Times New Roman"/>
          <w:sz w:val="18"/>
          <w:szCs w:val="18"/>
          <w:color w:val="212529"/>
        </w:rPr>
        <w:t>the Company repaid in full, its 2022 Notes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the aggregate principal amount of $300.0 million, including </w:t>
      </w:r>
      <w:r>
        <w:rPr>
          <w:rFonts w:ascii="Times New Roman" w:cs="Times New Roman" w:eastAsia="Times New Roman" w:hAnsi="Times New Roman"/>
          <w:sz w:val="18"/>
          <w:szCs w:val="18"/>
          <w:color w:val="000000"/>
        </w:rPr>
        <w:t>early redemption premiums and accrued interest of $10.8 million. The terms of the Notes are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described in note 7 to the consolidated financial statements in Part I of this Form 10-Q.</w:t>
      </w:r>
    </w:p>
    <w:p>
      <w:pPr>
        <w:spacing w:after="0" w:line="7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uses production financing facilities to fund its film and television productions which are arranged on an individual production basis by either special purpose production subsidiaries, each secured by the assets and future revenues of such production subsidiaries, which are non-recourse to the Company's assets, or through a senior revolving credit facility obtained in November 2021, dedicated to production financing. The Company's senior revolving film and television production credit facility (the “RPCF”) with MUFG Union Bank, N.A., as administrative agent and lender and certain other financial institutions, as lenders thereto (the “Revolving Production Financing Agreement”) provides the Company with commitments having a maximum aggregate principal amount of $250.0 million. The Revolving Production Financing Agreement also provides the Company with the option to request a commitment increase up to an aggregate additional amount of $150.0 million subject to agreement of the lenders. The Revolving Production Financing Agreement extends through November 22, 2024. The Company uses the RPCF to fund certain of the Company’s original film and TV production costs. Borrowings under the RPCF are non-recourse to the Company's assets. The Company expects to utilize the revolving production financing facility for the majority of its future production financing needs. During the first nine months of 2022, the Company had total drawdowns of $204.5 million and repayments of $189.2 million towards these production financing facilities. As of September 25, 2022, the Company had outstanding production financing borrowings related to these facilities of $184.9 million, $62.6 million of which are recorded within the current portion of long-term debt and $122.3 million are recorded within short-term borrowings in the Company's consolidated balance sheets, included in Part I of this Form 10-Q.</w:t>
      </w:r>
    </w:p>
    <w:p>
      <w:pPr>
        <w:spacing w:after="0" w:line="7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The Company has principal amounts of long-term debt as of September 25, 2022 of $3.9 billion, due at varying times from 2024 through 2044. Of the total principal amount of long-term debt, $122.6 million is current at September 25, 2022 of which $60.0 million is related to principal amortization of the 5-year term loans due December 2024 and $62.6 million represents the Company's outstanding production financing facilities described above. During the first quarter of 2021, the Company repaid in full its 3.15% Notes in the aggregate principal amount of $300.0 million due in May 2021, including accrued interest. </w:t>
      </w:r>
      <w:r>
        <w:rPr>
          <w:rFonts w:ascii="Times New Roman" w:cs="Times New Roman" w:eastAsia="Times New Roman" w:hAnsi="Times New Roman"/>
          <w:sz w:val="18"/>
          <w:szCs w:val="18"/>
          <w:color w:val="212529"/>
        </w:rPr>
        <w:t>All of the Company’s other long-term borrowings have contractual maturities that occur subsequent to the third quarter of 2024, with the exception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of certain of the Company’s production financing facilities discussed above.</w:t>
      </w:r>
    </w:p>
    <w:p>
      <w:pPr>
        <w:spacing w:after="0" w:line="7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also had letters of credit and other similar instruments of approximately $10.6 million and purchase commitments of approximately $357.4 million outstanding at September 25, 2022.</w:t>
      </w:r>
    </w:p>
    <w:p>
      <w:pPr>
        <w:spacing w:after="0" w:line="54"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Other contractual obligations and commercial commitments, as detailed in the Company's 2021 Form 10-K, did not materially change outside of certain payments made in the normal course of business and as otherwise set forth in this report.</w:t>
      </w:r>
    </w:p>
    <w:p>
      <w:pPr>
        <w:spacing w:after="0" w:line="5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has a long history of returning cash to its shareholders through quarterly dividends and share repurchases. Hasbro increased the quarterly dividend rate from $0.68 per share to $0.70 per share effective for the dividend paid in May 2022. The Company also returns cash to shareholders through its share repurchase program. As part of this initiative, since 2005, the Company's Board of Directors (the "Board") adopted numerous share repurchase authorizations with a cumulative authorized repurchase amount of $4.3 billion. The most recent authorization was approved in May 2018 for $500 million. Following the Company's acquisition of eOne, the Company temporarily suspended its share repurchase program to prioritize deleveraging. In April 2022, given the Company's progress towards reducing debt, the Company resumed its share repurchase activity and has since repurchased approximately 1.4 million shares at a total cost of $125.0 million and at an average price of $87.46 per share. At September 25, 2022, the Company had $241.6 million remaining under these share repurchase authorizations. Share repurchases are subject to market conditions, the availability of funds and other uses of funds. The Company has no obligation to repurchase shares under the authorization, and the timing, actual number, and value of the shares that are repurchased, if any, will depend on a number of factors, including the price of the Company’s stock and the Company's generation of, and uses for, cash.</w:t>
      </w:r>
    </w:p>
    <w:p>
      <w:pPr>
        <w:spacing w:after="0" w:line="8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Company believes that cash from operations, and, if necessary, its committed line of credit and other borrowing facilities, will allow the Company to meet its obligations over the next twelve months.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POLICIES AND SIGNIFICANT ESTIMATES</w:t>
      </w:r>
    </w:p>
    <w:p>
      <w:pPr>
        <w:spacing w:after="0" w:line="20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 prepares its consolidated financial statements in accordance with accounting principles generally accepted in the United States of America. As such, management is required to make certain estimates, judgments and assumptions that it believes are reasonable based on the information available. These estimates and assumptions affect the reported amounts of assets and liabilities at the date of the financial statements and the reported amounts of revenues and expenses for the periods presented. The significant accounting policies which management believes are the most critical to aid in fully understanding and evaluating the Company's reported financial results include film and television production costs, recoverability of 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647065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49" w:name="page50"/>
    <w:bookmarkEnd w:id="49"/>
    <w:p>
      <w:pPr>
        <w:jc w:val="both"/>
        <w:ind w:right="520"/>
        <w:spacing w:after="0" w:line="266" w:lineRule="auto"/>
        <w:rPr>
          <w:sz w:val="20"/>
          <w:szCs w:val="20"/>
          <w:color w:val="auto"/>
        </w:rPr>
      </w:pPr>
      <w:r>
        <w:rPr>
          <w:rFonts w:ascii="Times New Roman" w:cs="Times New Roman" w:eastAsia="Times New Roman" w:hAnsi="Times New Roman"/>
          <w:sz w:val="18"/>
          <w:szCs w:val="18"/>
          <w:color w:val="auto"/>
        </w:rPr>
        <w:t>and intangible assets, income taxes and business combinations. Additionally, the Company identified the valuation of the Company’s equity method investment in Discovery Family Channel as a significant accounting estimate. These critical accounting policies are the same as those detailed in the Company's 2021 Form 10-K.</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RISK MANAGEMENT</w:t>
      </w:r>
    </w:p>
    <w:p>
      <w:pPr>
        <w:spacing w:after="0" w:line="18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is exposed to market risks attributable to fluctuations in foreign currency exchange rates primarily as the result of sourcing products priced in U.S. dollars, Hong Kong dollars and Euros while marketing and selling those products in more than twenty currencies. Results of operations may be affected primarily by changes in the value of the U.S. dollar, Euro, British pound sterling, Canadian dollar, Japanese Yen, Brazilian real and Mexican peso and, to a lesser extent, other currencies in Latin American and Asia Pacific countries.</w:t>
      </w:r>
    </w:p>
    <w:p>
      <w:pPr>
        <w:spacing w:after="0" w:line="13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To manage this exposure, the Company has hedged a portion of its forecasted foreign currency transactions using foreign exchange forward contracts. The Company is also exposed to foreign currency risk with respect to its net cash and cash equivalents or short-term borrowing positions in currencies other than the U.S. dollar. The Company believes, however, that the on-going risk on the net exposure should not be material to its financial condition. In addition, the Company's revenues and costs have been, and will likely continue to be, affected by changes in foreign currency rates. A significant change in foreign exchange rates can materially impact the Company's revenues and earnings due to translation of foreign-denominated revenues and expenses. The Company does not hedge against translation impacts of foreign exchange. From time to time, affiliates of the Company may make or receive intercompany loans in currencies other than their functional currency. The Company manages this exposure at the time the loan is made by using foreign exchange contracts.</w:t>
      </w:r>
    </w:p>
    <w:p>
      <w:pPr>
        <w:spacing w:after="0" w:line="16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Company reflects derivatives at their fair value as an asset or liability on the consolidated balance sheets. The Company does not speculate in foreign currency exchange contracts. At September 25, 2022, these contracts had net unrealized gains of $38.4 million, of which $36.9 million of unrealized gains are recorded in prepaid expenses and other current assets, $1.8 million of unrealized gains are recorded in other assets and $0.3 million of unrealized losses are recorded in accrued liabilities. Included in accumulated other comprehensive loss at September 25, 2022 are deferred gains, net of tax, of $22.4 million, related to these derivatives.</w:t>
      </w:r>
    </w:p>
    <w:p>
      <w:pPr>
        <w:spacing w:after="0" w:line="143"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At September 25, 2022, the Company had principal amounts of long-term debt of $3.9 billion. In May 2014, the Company issued an aggregate $600.0 million of long-term debt which consisted of $300.0 million of 3.15% Notes, subsequently repaid in 2021, and $300.0 million of 5.10% Notes due</w:t>
      </w:r>
    </w:p>
    <w:p>
      <w:pPr>
        <w:spacing w:after="0" w:line="252" w:lineRule="auto"/>
        <w:rPr>
          <w:sz w:val="20"/>
          <w:szCs w:val="20"/>
          <w:color w:val="auto"/>
        </w:rPr>
      </w:pPr>
      <w:r>
        <w:rPr>
          <w:rFonts w:ascii="Times New Roman" w:cs="Times New Roman" w:eastAsia="Times New Roman" w:hAnsi="Times New Roman"/>
          <w:sz w:val="18"/>
          <w:szCs w:val="18"/>
          <w:color w:val="auto"/>
        </w:rPr>
        <w:t>2044. Prior to the May 2014 debt issuance, the Company entered into forward-starting interest rate swap agreements with a total notional value of $500.0 million to hedge the anticipated underlying U.S. Treasury interest rate. These interest rate swaps were matched with this debt issuance and were designated and effective as hedges of the change in future interest payments. At the date of issuance, the Company terminated these swap agreements and their fair value at the date of issuance was recorded in accumulated other comprehensive loss and is being amortized through the consolidated statements of operations using an effective interest rate method over the life of the related debt. Included in accumulated other comprehensive loss at September 25, 2022 are deferred losses, net of tax, of $15.0 million related to these derivatives.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INFLATION</w:t>
      </w:r>
    </w:p>
    <w:p>
      <w:pPr>
        <w:spacing w:after="0" w:line="121"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7"/>
          <w:szCs w:val="17"/>
          <w:color w:val="auto"/>
        </w:rPr>
        <w:t>The impact of inflation on the Company's business operations has been significant during the first nine months of 2022 compared to prior years. However, due to mitigating actions taken by the Company, such as price increases where deemed necessary, the impact of general price inflation on our financial position and results of operations has been reduced. The Company continues to monitor the impact of inflation to its business operations on an ongoing basis and may need to adjust its prices further to mitigate the impact of changes to the rate of inflation in future periods. However, future volatility of general price inflation could affect consumer purchases of our products and spending on entertainment. Additionally, the impact of inflation on costs and availability of materials, costs for shipping and warehousing and other operational overhead, could adversely affect the Company's financial results.</w:t>
      </w:r>
    </w:p>
    <w:p>
      <w:pPr>
        <w:spacing w:after="0" w:line="14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189"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included in Part I, Item 2. "Management's Discussion and Analysis of Financial Condition and Results of Operations"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521335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66" w:right="359" w:bottom="1440" w:gutter="0" w:footer="0" w:header="0"/>
        </w:sectPr>
      </w:pPr>
    </w:p>
    <w:bookmarkStart w:id="50" w:name="page51"/>
    <w:bookmarkEnd w:id="50"/>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Evaluation of disclosure controls and procedures</w:t>
      </w:r>
    </w:p>
    <w:p>
      <w:pPr>
        <w:spacing w:after="0" w:line="19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maintains disclosure controls and procedures, as defined in Rule 13a-15(e) promulgated under the Securities Exchange Act of 1934 (the "Exchange Act"), that are designed to ensure that information required to be disclosed by the Company in the reports that it files or submits under the Exchange Act is recorded, processed, summarized and reported within the time periods specified in the Securities and Exchange Commission's rules and forms and that such information is accumulated and communicated to the Company's management, including its Chief Executive Officer and Chief Financial Officer, as appropriate to allow timely decisions regarding required disclosure. The Company carried out an evaluation, under the supervision and with the participation of the Company's management, including the Company's Chief Executive Officer and Chief Financial Officer, of the effectiveness of the design and operation of the Company's disclosure controls and procedures as of September 25, 2022. Based on the evaluation of these disclosure controls and procedures, the Chief Executive Officer and Chief Financial Officer concluded that the Company's disclosure controls and procedures were effective.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Changes in internal control over financial reporting</w:t>
      </w:r>
    </w:p>
    <w:p>
      <w:pPr>
        <w:spacing w:after="0" w:line="15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as defined in Rule 13a-15(f) promulgated under the Exchange Act, during the quarter ended September 25, 2022 that have materially affected, or are reasonably likely to materially affect, the Company's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530860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62" w:right="359" w:bottom="1440" w:gutter="0" w:footer="0" w:header="0"/>
        </w:sectPr>
      </w:pPr>
    </w:p>
    <w:bookmarkStart w:id="51" w:name="page52"/>
    <w:bookmarkEnd w:id="51"/>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PART II.</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6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currently party to certain legal proceedings, none of which it believes to be material to its business or financial condition.</w:t>
      </w:r>
    </w:p>
    <w:p>
      <w:pPr>
        <w:spacing w:after="0" w:line="194"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212529"/>
        </w:rPr>
        <w:t>In connection with information set forth in this Quarterly Report on Form 10-Q, the risk factors discussed under Item 1A. Risk Factors, in Part I of our 2021 Form 10-K and in our subsequent filings, including in this filing, should be considered. The risks set forth in our 2021 Form 10-K and in our subsequent filings, including in this filing, could materially and adversely affect our business, financial condition, and results of operations. There are no material changes from the risk factors as previously disclosed in our 2021 10-K, in any of our subsequently filed reports or as otherwise set forth in this Quarterly Report.</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Repurchases Made in the Quarter (in whole dollars and number of shares)</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56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(d)</w:t>
            </w:r>
          </w:p>
        </w:tc>
        <w:tc>
          <w:tcPr>
            <w:tcW w:w="0" w:type="dxa"/>
            <w:vAlign w:val="bottom"/>
          </w:tcPr>
          <w:p>
            <w:pPr>
              <w:spacing w:after="0"/>
              <w:rPr>
                <w:sz w:val="1"/>
                <w:szCs w:val="1"/>
                <w:color w:val="auto"/>
              </w:rPr>
            </w:pPr>
          </w:p>
        </w:tc>
      </w:tr>
      <w:tr>
        <w:trPr>
          <w:trHeight w:val="180"/>
        </w:trPr>
        <w:tc>
          <w:tcPr>
            <w:tcW w:w="56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center"/>
              <w:ind w:right="110"/>
              <w:spacing w:after="0" w:line="181" w:lineRule="exact"/>
              <w:rPr>
                <w:sz w:val="20"/>
                <w:szCs w:val="20"/>
                <w:color w:val="auto"/>
              </w:rPr>
            </w:pPr>
            <w:r>
              <w:rPr>
                <w:rFonts w:ascii="Times New Roman" w:cs="Times New Roman" w:eastAsia="Times New Roman" w:hAnsi="Times New Roman"/>
                <w:sz w:val="18"/>
                <w:szCs w:val="18"/>
                <w:color w:val="auto"/>
              </w:rPr>
              <w:t>Maximum</w:t>
            </w:r>
          </w:p>
        </w:tc>
        <w:tc>
          <w:tcPr>
            <w:tcW w:w="0" w:type="dxa"/>
            <w:vAlign w:val="bottom"/>
          </w:tcPr>
          <w:p>
            <w:pPr>
              <w:spacing w:after="0"/>
              <w:rPr>
                <w:sz w:val="1"/>
                <w:szCs w:val="1"/>
                <w:color w:val="auto"/>
              </w:rPr>
            </w:pPr>
          </w:p>
        </w:tc>
      </w:tr>
      <w:tr>
        <w:trPr>
          <w:trHeight w:val="176"/>
        </w:trPr>
        <w:tc>
          <w:tcPr>
            <w:tcW w:w="56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5"/>
              </w:rPr>
              <w:t>(c) Total</w:t>
            </w:r>
          </w:p>
        </w:tc>
        <w:tc>
          <w:tcPr>
            <w:tcW w:w="160" w:type="dxa"/>
            <w:vAlign w:val="bottom"/>
          </w:tcPr>
          <w:p>
            <w:pPr>
              <w:spacing w:after="0"/>
              <w:rPr>
                <w:sz w:val="15"/>
                <w:szCs w:val="15"/>
                <w:color w:val="auto"/>
              </w:rPr>
            </w:pPr>
          </w:p>
        </w:tc>
        <w:tc>
          <w:tcPr>
            <w:tcW w:w="120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w w:val="99"/>
              </w:rPr>
              <w:t>Number (or</w:t>
            </w:r>
          </w:p>
        </w:tc>
        <w:tc>
          <w:tcPr>
            <w:tcW w:w="0" w:type="dxa"/>
            <w:vAlign w:val="bottom"/>
          </w:tcPr>
          <w:p>
            <w:pPr>
              <w:spacing w:after="0"/>
              <w:rPr>
                <w:sz w:val="1"/>
                <w:szCs w:val="1"/>
                <w:color w:val="auto"/>
              </w:rPr>
            </w:pPr>
          </w:p>
        </w:tc>
      </w:tr>
      <w:tr>
        <w:trPr>
          <w:trHeight w:val="184"/>
        </w:trPr>
        <w:tc>
          <w:tcPr>
            <w:tcW w:w="56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center"/>
              <w:ind w:right="50"/>
              <w:spacing w:after="0" w:line="184" w:lineRule="exact"/>
              <w:rPr>
                <w:sz w:val="20"/>
                <w:szCs w:val="20"/>
                <w:color w:val="auto"/>
              </w:rPr>
            </w:pPr>
            <w:r>
              <w:rPr>
                <w:rFonts w:ascii="Times New Roman" w:cs="Times New Roman" w:eastAsia="Times New Roman" w:hAnsi="Times New Roman"/>
                <w:sz w:val="18"/>
                <w:szCs w:val="18"/>
                <w:color w:val="auto"/>
                <w:w w:val="98"/>
              </w:rPr>
              <w:t>Approximate</w:t>
            </w:r>
          </w:p>
        </w:tc>
        <w:tc>
          <w:tcPr>
            <w:tcW w:w="0" w:type="dxa"/>
            <w:vAlign w:val="bottom"/>
          </w:tcPr>
          <w:p>
            <w:pPr>
              <w:spacing w:after="0"/>
              <w:rPr>
                <w:sz w:val="1"/>
                <w:szCs w:val="1"/>
                <w:color w:val="auto"/>
              </w:rPr>
            </w:pPr>
          </w:p>
        </w:tc>
      </w:tr>
      <w:tr>
        <w:trPr>
          <w:trHeight w:val="180"/>
        </w:trPr>
        <w:tc>
          <w:tcPr>
            <w:tcW w:w="56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center"/>
              <w:ind w:right="100"/>
              <w:spacing w:after="0" w:line="181" w:lineRule="exact"/>
              <w:rPr>
                <w:sz w:val="20"/>
                <w:szCs w:val="20"/>
                <w:color w:val="auto"/>
              </w:rPr>
            </w:pPr>
            <w:r>
              <w:rPr>
                <w:rFonts w:ascii="Times New Roman" w:cs="Times New Roman" w:eastAsia="Times New Roman" w:hAnsi="Times New Roman"/>
                <w:sz w:val="18"/>
                <w:szCs w:val="18"/>
                <w:color w:val="auto"/>
              </w:rPr>
              <w:t>Number of</w:t>
            </w:r>
          </w:p>
        </w:tc>
        <w:tc>
          <w:tcPr>
            <w:tcW w:w="160" w:type="dxa"/>
            <w:vAlign w:val="bottom"/>
          </w:tcPr>
          <w:p>
            <w:pPr>
              <w:spacing w:after="0"/>
              <w:rPr>
                <w:sz w:val="15"/>
                <w:szCs w:val="15"/>
                <w:color w:val="auto"/>
              </w:rPr>
            </w:pPr>
          </w:p>
        </w:tc>
        <w:tc>
          <w:tcPr>
            <w:tcW w:w="1200" w:type="dxa"/>
            <w:vAlign w:val="bottom"/>
          </w:tcPr>
          <w:p>
            <w:pPr>
              <w:jc w:val="center"/>
              <w:ind w:right="90"/>
              <w:spacing w:after="0" w:line="181" w:lineRule="exact"/>
              <w:rPr>
                <w:sz w:val="20"/>
                <w:szCs w:val="20"/>
                <w:color w:val="auto"/>
              </w:rPr>
            </w:pPr>
            <w:r>
              <w:rPr>
                <w:rFonts w:ascii="Times New Roman" w:cs="Times New Roman" w:eastAsia="Times New Roman" w:hAnsi="Times New Roman"/>
                <w:sz w:val="18"/>
                <w:szCs w:val="18"/>
                <w:color w:val="auto"/>
                <w:w w:val="99"/>
              </w:rPr>
              <w:t>Dollar</w:t>
            </w:r>
          </w:p>
        </w:tc>
        <w:tc>
          <w:tcPr>
            <w:tcW w:w="0" w:type="dxa"/>
            <w:vAlign w:val="bottom"/>
          </w:tcPr>
          <w:p>
            <w:pPr>
              <w:spacing w:after="0"/>
              <w:rPr>
                <w:sz w:val="1"/>
                <w:szCs w:val="1"/>
                <w:color w:val="auto"/>
              </w:rPr>
            </w:pPr>
          </w:p>
        </w:tc>
      </w:tr>
      <w:tr>
        <w:trPr>
          <w:trHeight w:val="175"/>
        </w:trPr>
        <w:tc>
          <w:tcPr>
            <w:tcW w:w="56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7"/>
              </w:rPr>
              <w:t>Shares (or</w:t>
            </w:r>
          </w:p>
        </w:tc>
        <w:tc>
          <w:tcPr>
            <w:tcW w:w="160" w:type="dxa"/>
            <w:vAlign w:val="bottom"/>
          </w:tcPr>
          <w:p>
            <w:pPr>
              <w:spacing w:after="0"/>
              <w:rPr>
                <w:sz w:val="15"/>
                <w:szCs w:val="15"/>
                <w:color w:val="auto"/>
              </w:rPr>
            </w:pPr>
          </w:p>
        </w:tc>
        <w:tc>
          <w:tcPr>
            <w:tcW w:w="120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w w:val="96"/>
              </w:rPr>
              <w:t>Value) of</w:t>
            </w:r>
          </w:p>
        </w:tc>
        <w:tc>
          <w:tcPr>
            <w:tcW w:w="0" w:type="dxa"/>
            <w:vAlign w:val="bottom"/>
          </w:tcPr>
          <w:p>
            <w:pPr>
              <w:spacing w:after="0"/>
              <w:rPr>
                <w:sz w:val="1"/>
                <w:szCs w:val="1"/>
                <w:color w:val="auto"/>
              </w:rPr>
            </w:pPr>
          </w:p>
        </w:tc>
      </w:tr>
      <w:tr>
        <w:trPr>
          <w:trHeight w:val="184"/>
        </w:trPr>
        <w:tc>
          <w:tcPr>
            <w:tcW w:w="56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color w:val="auto"/>
                <w:w w:val="97"/>
              </w:rPr>
              <w:t>Units)</w:t>
            </w:r>
          </w:p>
        </w:tc>
        <w:tc>
          <w:tcPr>
            <w:tcW w:w="160" w:type="dxa"/>
            <w:vAlign w:val="bottom"/>
          </w:tcPr>
          <w:p>
            <w:pPr>
              <w:spacing w:after="0"/>
              <w:rPr>
                <w:sz w:val="16"/>
                <w:szCs w:val="16"/>
                <w:color w:val="auto"/>
              </w:rPr>
            </w:pPr>
          </w:p>
        </w:tc>
        <w:tc>
          <w:tcPr>
            <w:tcW w:w="1200" w:type="dxa"/>
            <w:vAlign w:val="bottom"/>
          </w:tcPr>
          <w:p>
            <w:pPr>
              <w:jc w:val="center"/>
              <w:ind w:right="50"/>
              <w:spacing w:after="0" w:line="184" w:lineRule="exact"/>
              <w:rPr>
                <w:sz w:val="20"/>
                <w:szCs w:val="20"/>
                <w:color w:val="auto"/>
              </w:rPr>
            </w:pPr>
            <w:r>
              <w:rPr>
                <w:rFonts w:ascii="Times New Roman" w:cs="Times New Roman" w:eastAsia="Times New Roman" w:hAnsi="Times New Roman"/>
                <w:sz w:val="18"/>
                <w:szCs w:val="18"/>
                <w:color w:val="auto"/>
              </w:rPr>
              <w:t>Shares (or</w:t>
            </w:r>
          </w:p>
        </w:tc>
        <w:tc>
          <w:tcPr>
            <w:tcW w:w="0" w:type="dxa"/>
            <w:vAlign w:val="bottom"/>
          </w:tcPr>
          <w:p>
            <w:pPr>
              <w:spacing w:after="0"/>
              <w:rPr>
                <w:sz w:val="1"/>
                <w:szCs w:val="1"/>
                <w:color w:val="auto"/>
              </w:rPr>
            </w:pPr>
          </w:p>
        </w:tc>
      </w:tr>
      <w:tr>
        <w:trPr>
          <w:trHeight w:val="180"/>
        </w:trPr>
        <w:tc>
          <w:tcPr>
            <w:tcW w:w="5600" w:type="dxa"/>
            <w:vAlign w:val="bottom"/>
          </w:tcPr>
          <w:p>
            <w:pPr>
              <w:spacing w:after="0"/>
              <w:rPr>
                <w:sz w:val="15"/>
                <w:szCs w:val="15"/>
                <w:color w:val="auto"/>
              </w:rPr>
            </w:pPr>
          </w:p>
        </w:tc>
        <w:tc>
          <w:tcPr>
            <w:tcW w:w="14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5"/>
              </w:rPr>
              <w:t>(a) Total</w:t>
            </w:r>
          </w:p>
        </w:tc>
        <w:tc>
          <w:tcPr>
            <w:tcW w:w="200" w:type="dxa"/>
            <w:vAlign w:val="bottom"/>
          </w:tcPr>
          <w:p>
            <w:pPr>
              <w:spacing w:after="0"/>
              <w:rPr>
                <w:sz w:val="15"/>
                <w:szCs w:val="15"/>
                <w:color w:val="auto"/>
              </w:rPr>
            </w:pPr>
          </w:p>
        </w:tc>
        <w:tc>
          <w:tcPr>
            <w:tcW w:w="12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color w:val="auto"/>
              </w:rPr>
              <w:t>(b)</w:t>
            </w:r>
          </w:p>
        </w:tc>
        <w:tc>
          <w:tcPr>
            <w:tcW w:w="1420" w:type="dxa"/>
            <w:vAlign w:val="bottom"/>
            <w:gridSpan w:val="2"/>
          </w:tcPr>
          <w:p>
            <w:pPr>
              <w:jc w:val="center"/>
              <w:ind w:right="80"/>
              <w:spacing w:after="0" w:line="181" w:lineRule="exact"/>
              <w:rPr>
                <w:sz w:val="20"/>
                <w:szCs w:val="20"/>
                <w:color w:val="auto"/>
              </w:rPr>
            </w:pPr>
            <w:r>
              <w:rPr>
                <w:rFonts w:ascii="Times New Roman" w:cs="Times New Roman" w:eastAsia="Times New Roman" w:hAnsi="Times New Roman"/>
                <w:sz w:val="18"/>
                <w:szCs w:val="18"/>
                <w:color w:val="auto"/>
                <w:w w:val="99"/>
              </w:rPr>
              <w:t>Purchased</w:t>
            </w:r>
          </w:p>
        </w:tc>
        <w:tc>
          <w:tcPr>
            <w:tcW w:w="160" w:type="dxa"/>
            <w:vAlign w:val="bottom"/>
          </w:tcPr>
          <w:p>
            <w:pPr>
              <w:spacing w:after="0"/>
              <w:rPr>
                <w:sz w:val="15"/>
                <w:szCs w:val="15"/>
                <w:color w:val="auto"/>
              </w:rPr>
            </w:pPr>
          </w:p>
        </w:tc>
        <w:tc>
          <w:tcPr>
            <w:tcW w:w="1200" w:type="dxa"/>
            <w:vAlign w:val="bottom"/>
          </w:tcPr>
          <w:p>
            <w:pPr>
              <w:jc w:val="center"/>
              <w:ind w:right="70"/>
              <w:spacing w:after="0" w:line="181" w:lineRule="exact"/>
              <w:rPr>
                <w:sz w:val="20"/>
                <w:szCs w:val="20"/>
                <w:color w:val="auto"/>
              </w:rPr>
            </w:pPr>
            <w:r>
              <w:rPr>
                <w:rFonts w:ascii="Times New Roman" w:cs="Times New Roman" w:eastAsia="Times New Roman" w:hAnsi="Times New Roman"/>
                <w:sz w:val="18"/>
                <w:szCs w:val="18"/>
                <w:color w:val="auto"/>
                <w:w w:val="99"/>
              </w:rPr>
              <w:t>Units) that</w:t>
            </w:r>
          </w:p>
        </w:tc>
        <w:tc>
          <w:tcPr>
            <w:tcW w:w="0" w:type="dxa"/>
            <w:vAlign w:val="bottom"/>
          </w:tcPr>
          <w:p>
            <w:pPr>
              <w:spacing w:after="0"/>
              <w:rPr>
                <w:sz w:val="1"/>
                <w:szCs w:val="1"/>
                <w:color w:val="auto"/>
              </w:rPr>
            </w:pPr>
          </w:p>
        </w:tc>
      </w:tr>
      <w:tr>
        <w:trPr>
          <w:trHeight w:val="175"/>
        </w:trPr>
        <w:tc>
          <w:tcPr>
            <w:tcW w:w="560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42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as Part of</w:t>
            </w:r>
          </w:p>
        </w:tc>
        <w:tc>
          <w:tcPr>
            <w:tcW w:w="160" w:type="dxa"/>
            <w:vAlign w:val="bottom"/>
          </w:tcPr>
          <w:p>
            <w:pPr>
              <w:spacing w:after="0"/>
              <w:rPr>
                <w:sz w:val="15"/>
                <w:szCs w:val="15"/>
                <w:color w:val="auto"/>
              </w:rPr>
            </w:pPr>
          </w:p>
        </w:tc>
        <w:tc>
          <w:tcPr>
            <w:tcW w:w="120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color w:val="auto"/>
                <w:w w:val="97"/>
              </w:rPr>
              <w:t>May Yet Be</w:t>
            </w:r>
          </w:p>
        </w:tc>
        <w:tc>
          <w:tcPr>
            <w:tcW w:w="0" w:type="dxa"/>
            <w:vAlign w:val="bottom"/>
          </w:tcPr>
          <w:p>
            <w:pPr>
              <w:spacing w:after="0"/>
              <w:rPr>
                <w:sz w:val="1"/>
                <w:szCs w:val="1"/>
                <w:color w:val="auto"/>
              </w:rPr>
            </w:pPr>
          </w:p>
        </w:tc>
      </w:tr>
      <w:tr>
        <w:trPr>
          <w:trHeight w:val="176"/>
        </w:trPr>
        <w:tc>
          <w:tcPr>
            <w:tcW w:w="5600" w:type="dxa"/>
            <w:vAlign w:val="bottom"/>
          </w:tcPr>
          <w:p>
            <w:pPr>
              <w:spacing w:after="0"/>
              <w:rPr>
                <w:sz w:val="15"/>
                <w:szCs w:val="15"/>
                <w:color w:val="auto"/>
              </w:rPr>
            </w:pPr>
          </w:p>
        </w:tc>
        <w:tc>
          <w:tcPr>
            <w:tcW w:w="142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rPr>
              <w:t>Number of</w:t>
            </w:r>
          </w:p>
        </w:tc>
        <w:tc>
          <w:tcPr>
            <w:tcW w:w="200" w:type="dxa"/>
            <w:vAlign w:val="bottom"/>
          </w:tcPr>
          <w:p>
            <w:pPr>
              <w:spacing w:after="0"/>
              <w:rPr>
                <w:sz w:val="15"/>
                <w:szCs w:val="15"/>
                <w:color w:val="auto"/>
              </w:rPr>
            </w:pPr>
          </w:p>
        </w:tc>
        <w:tc>
          <w:tcPr>
            <w:tcW w:w="124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18"/>
                <w:szCs w:val="18"/>
                <w:color w:val="auto"/>
                <w:w w:val="95"/>
              </w:rPr>
              <w:t>Average</w:t>
            </w:r>
          </w:p>
        </w:tc>
        <w:tc>
          <w:tcPr>
            <w:tcW w:w="142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Publicly</w:t>
            </w:r>
          </w:p>
        </w:tc>
        <w:tc>
          <w:tcPr>
            <w:tcW w:w="160" w:type="dxa"/>
            <w:vAlign w:val="bottom"/>
          </w:tcPr>
          <w:p>
            <w:pPr>
              <w:spacing w:after="0"/>
              <w:rPr>
                <w:sz w:val="15"/>
                <w:szCs w:val="15"/>
                <w:color w:val="auto"/>
              </w:rPr>
            </w:pPr>
          </w:p>
        </w:tc>
        <w:tc>
          <w:tcPr>
            <w:tcW w:w="120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w w:val="99"/>
              </w:rPr>
              <w:t>Purchased</w:t>
            </w:r>
          </w:p>
        </w:tc>
        <w:tc>
          <w:tcPr>
            <w:tcW w:w="0" w:type="dxa"/>
            <w:vAlign w:val="bottom"/>
          </w:tcPr>
          <w:p>
            <w:pPr>
              <w:spacing w:after="0"/>
              <w:rPr>
                <w:sz w:val="1"/>
                <w:szCs w:val="1"/>
                <w:color w:val="auto"/>
              </w:rPr>
            </w:pPr>
          </w:p>
        </w:tc>
      </w:tr>
      <w:tr>
        <w:trPr>
          <w:trHeight w:val="189"/>
        </w:trPr>
        <w:tc>
          <w:tcPr>
            <w:tcW w:w="5600" w:type="dxa"/>
            <w:vAlign w:val="bottom"/>
          </w:tcPr>
          <w:p>
            <w:pPr>
              <w:spacing w:after="0"/>
              <w:rPr>
                <w:sz w:val="16"/>
                <w:szCs w:val="16"/>
                <w:color w:val="auto"/>
              </w:rPr>
            </w:pPr>
          </w:p>
        </w:tc>
        <w:tc>
          <w:tcPr>
            <w:tcW w:w="142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color w:val="auto"/>
                <w:w w:val="97"/>
              </w:rPr>
              <w:t>Shares (or</w:t>
            </w:r>
          </w:p>
        </w:tc>
        <w:tc>
          <w:tcPr>
            <w:tcW w:w="200" w:type="dxa"/>
            <w:vAlign w:val="bottom"/>
          </w:tcPr>
          <w:p>
            <w:pPr>
              <w:spacing w:after="0"/>
              <w:rPr>
                <w:sz w:val="16"/>
                <w:szCs w:val="16"/>
                <w:color w:val="auto"/>
              </w:rPr>
            </w:pPr>
          </w:p>
        </w:tc>
        <w:tc>
          <w:tcPr>
            <w:tcW w:w="1240" w:type="dxa"/>
            <w:vAlign w:val="bottom"/>
            <w:gridSpan w:val="2"/>
          </w:tcPr>
          <w:p>
            <w:pPr>
              <w:jc w:val="center"/>
              <w:ind w:right="300"/>
              <w:spacing w:after="0" w:line="189" w:lineRule="exact"/>
              <w:rPr>
                <w:sz w:val="20"/>
                <w:szCs w:val="20"/>
                <w:color w:val="auto"/>
              </w:rPr>
            </w:pPr>
            <w:r>
              <w:rPr>
                <w:rFonts w:ascii="Times New Roman" w:cs="Times New Roman" w:eastAsia="Times New Roman" w:hAnsi="Times New Roman"/>
                <w:sz w:val="18"/>
                <w:szCs w:val="18"/>
                <w:color w:val="auto"/>
              </w:rPr>
              <w:t>Price Paid</w:t>
            </w:r>
          </w:p>
        </w:tc>
        <w:tc>
          <w:tcPr>
            <w:tcW w:w="142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color w:val="auto"/>
              </w:rPr>
              <w:t>Announced</w:t>
            </w:r>
          </w:p>
        </w:tc>
        <w:tc>
          <w:tcPr>
            <w:tcW w:w="160" w:type="dxa"/>
            <w:vAlign w:val="bottom"/>
          </w:tcPr>
          <w:p>
            <w:pPr>
              <w:spacing w:after="0"/>
              <w:rPr>
                <w:sz w:val="16"/>
                <w:szCs w:val="16"/>
                <w:color w:val="auto"/>
              </w:rPr>
            </w:pPr>
          </w:p>
        </w:tc>
        <w:tc>
          <w:tcPr>
            <w:tcW w:w="1200" w:type="dxa"/>
            <w:vAlign w:val="bottom"/>
          </w:tcPr>
          <w:p>
            <w:pPr>
              <w:jc w:val="center"/>
              <w:ind w:right="70"/>
              <w:spacing w:after="0" w:line="189" w:lineRule="exact"/>
              <w:rPr>
                <w:sz w:val="20"/>
                <w:szCs w:val="20"/>
                <w:color w:val="auto"/>
              </w:rPr>
            </w:pPr>
            <w:r>
              <w:rPr>
                <w:rFonts w:ascii="Times New Roman" w:cs="Times New Roman" w:eastAsia="Times New Roman" w:hAnsi="Times New Roman"/>
                <w:sz w:val="18"/>
                <w:szCs w:val="18"/>
                <w:color w:val="auto"/>
              </w:rPr>
              <w:t>Under the</w:t>
            </w:r>
          </w:p>
        </w:tc>
        <w:tc>
          <w:tcPr>
            <w:tcW w:w="0" w:type="dxa"/>
            <w:vAlign w:val="bottom"/>
          </w:tcPr>
          <w:p>
            <w:pPr>
              <w:spacing w:after="0"/>
              <w:rPr>
                <w:sz w:val="1"/>
                <w:szCs w:val="1"/>
                <w:color w:val="auto"/>
              </w:rPr>
            </w:pPr>
          </w:p>
        </w:tc>
      </w:tr>
      <w:tr>
        <w:trPr>
          <w:trHeight w:val="175"/>
        </w:trPr>
        <w:tc>
          <w:tcPr>
            <w:tcW w:w="5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Period</w:t>
            </w:r>
          </w:p>
        </w:tc>
        <w:tc>
          <w:tcPr>
            <w:tcW w:w="142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7"/>
              </w:rPr>
              <w:t>Units)</w:t>
            </w:r>
          </w:p>
        </w:tc>
        <w:tc>
          <w:tcPr>
            <w:tcW w:w="200" w:type="dxa"/>
            <w:vAlign w:val="bottom"/>
          </w:tcPr>
          <w:p>
            <w:pPr>
              <w:spacing w:after="0"/>
              <w:rPr>
                <w:sz w:val="15"/>
                <w:szCs w:val="15"/>
                <w:color w:val="auto"/>
              </w:rPr>
            </w:pPr>
          </w:p>
        </w:tc>
        <w:tc>
          <w:tcPr>
            <w:tcW w:w="124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18"/>
                <w:szCs w:val="18"/>
                <w:color w:val="auto"/>
              </w:rPr>
              <w:t>per Share</w:t>
            </w:r>
          </w:p>
        </w:tc>
        <w:tc>
          <w:tcPr>
            <w:tcW w:w="142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rPr>
              <w:t>Plans or</w:t>
            </w:r>
          </w:p>
        </w:tc>
        <w:tc>
          <w:tcPr>
            <w:tcW w:w="160" w:type="dxa"/>
            <w:vAlign w:val="bottom"/>
          </w:tcPr>
          <w:p>
            <w:pPr>
              <w:spacing w:after="0"/>
              <w:rPr>
                <w:sz w:val="15"/>
                <w:szCs w:val="15"/>
                <w:color w:val="auto"/>
              </w:rPr>
            </w:pPr>
          </w:p>
        </w:tc>
        <w:tc>
          <w:tcPr>
            <w:tcW w:w="120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w w:val="99"/>
              </w:rPr>
              <w:t>Plans or</w:t>
            </w:r>
          </w:p>
        </w:tc>
        <w:tc>
          <w:tcPr>
            <w:tcW w:w="0" w:type="dxa"/>
            <w:vAlign w:val="bottom"/>
          </w:tcPr>
          <w:p>
            <w:pPr>
              <w:spacing w:after="0"/>
              <w:rPr>
                <w:sz w:val="1"/>
                <w:szCs w:val="1"/>
                <w:color w:val="auto"/>
              </w:rPr>
            </w:pPr>
          </w:p>
        </w:tc>
      </w:tr>
      <w:tr>
        <w:trPr>
          <w:trHeight w:val="230"/>
        </w:trPr>
        <w:tc>
          <w:tcPr>
            <w:tcW w:w="5600" w:type="dxa"/>
            <w:vAlign w:val="bottom"/>
            <w:vMerge w:val="continue"/>
          </w:tcPr>
          <w:p>
            <w:pPr>
              <w:spacing w:after="0"/>
              <w:rPr>
                <w:sz w:val="19"/>
                <w:szCs w:val="19"/>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Purchased</w:t>
            </w:r>
          </w:p>
        </w:tc>
        <w:tc>
          <w:tcPr>
            <w:tcW w:w="200" w:type="dxa"/>
            <w:vAlign w:val="bottom"/>
          </w:tcPr>
          <w:p>
            <w:pPr>
              <w:spacing w:after="0"/>
              <w:rPr>
                <w:sz w:val="19"/>
                <w:szCs w:val="19"/>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7"/>
              </w:rPr>
              <w:t>(or Unit)</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Programs</w:t>
            </w:r>
          </w:p>
        </w:tc>
        <w:tc>
          <w:tcPr>
            <w:tcW w:w="160" w:type="dxa"/>
            <w:vAlign w:val="bottom"/>
          </w:tcPr>
          <w:p>
            <w:pPr>
              <w:spacing w:after="0"/>
              <w:rPr>
                <w:sz w:val="19"/>
                <w:szCs w:val="19"/>
                <w:color w:val="auto"/>
              </w:rPr>
            </w:pPr>
          </w:p>
        </w:tc>
        <w:tc>
          <w:tcPr>
            <w:tcW w:w="12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Programs</w:t>
            </w:r>
          </w:p>
        </w:tc>
        <w:tc>
          <w:tcPr>
            <w:tcW w:w="0" w:type="dxa"/>
            <w:vAlign w:val="bottom"/>
          </w:tcPr>
          <w:p>
            <w:pPr>
              <w:spacing w:after="0"/>
              <w:rPr>
                <w:sz w:val="1"/>
                <w:szCs w:val="1"/>
                <w:color w:val="auto"/>
              </w:rPr>
            </w:pPr>
          </w:p>
        </w:tc>
      </w:tr>
      <w:tr>
        <w:trPr>
          <w:trHeight w:val="210"/>
        </w:trPr>
        <w:tc>
          <w:tcPr>
            <w:tcW w:w="5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2022</w:t>
            </w: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6/27/22 – 7/24/22</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11,679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85.70</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11,679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241,621,269</w:t>
            </w: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2022</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7/25/22 – 8/28/22</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241,621,269</w:t>
            </w:r>
          </w:p>
        </w:tc>
        <w:tc>
          <w:tcPr>
            <w:tcW w:w="0" w:type="dxa"/>
            <w:vAlign w:val="bottom"/>
          </w:tcPr>
          <w:p>
            <w:pPr>
              <w:spacing w:after="0"/>
              <w:rPr>
                <w:sz w:val="1"/>
                <w:szCs w:val="1"/>
                <w:color w:val="auto"/>
              </w:rPr>
            </w:pPr>
          </w:p>
        </w:tc>
      </w:tr>
      <w:tr>
        <w:trPr>
          <w:trHeight w:val="210"/>
        </w:trPr>
        <w:tc>
          <w:tcPr>
            <w:tcW w:w="5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2022</w:t>
            </w: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8/29/22 – 9/25/22</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241,621,269</w:t>
            </w:r>
          </w:p>
        </w:tc>
        <w:tc>
          <w:tcPr>
            <w:tcW w:w="0" w:type="dxa"/>
            <w:vAlign w:val="bottom"/>
          </w:tcPr>
          <w:p>
            <w:pPr>
              <w:spacing w:after="0"/>
              <w:rPr>
                <w:sz w:val="1"/>
                <w:szCs w:val="1"/>
                <w:color w:val="auto"/>
              </w:rPr>
            </w:pPr>
          </w:p>
        </w:tc>
      </w:tr>
      <w:tr>
        <w:trPr>
          <w:trHeight w:val="248"/>
        </w:trPr>
        <w:tc>
          <w:tcPr>
            <w:tcW w:w="5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241,621,269</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In May 2018, the Company announced that its Board of Directors authorized the repurchase of an additional $500 million of common stock. Purchases of the Company's common stock may be made from time to time, subject to market conditions. These shares may be repurchased in the open market or through privately negotiated transactions. The Company has no obligation to repurchase shares under this authorization and there is no expiration date for this repurchase authorization. The timing, actual number, and value of shares that are repurchased will depend on a number of factors, including the price of the Company's stock and the Company’s generation of, and uses for, cash.</w:t>
      </w:r>
    </w:p>
    <w:p>
      <w:pPr>
        <w:spacing w:after="0" w:line="13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Defaults Upon Senior Securities.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561975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52" w:name="page53"/>
    <w:bookmarkEnd w:id="52"/>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191" w:lineRule="exact"/>
        <w:rPr>
          <w:sz w:val="20"/>
          <w:szCs w:val="20"/>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3.1 </w:t>
      </w:r>
      <w:hyperlink r:id="rId77">
        <w:r>
          <w:rPr>
            <w:rFonts w:ascii="Times New Roman" w:cs="Times New Roman" w:eastAsia="Times New Roman" w:hAnsi="Times New Roman"/>
            <w:sz w:val="18"/>
            <w:szCs w:val="18"/>
            <w:u w:val="single" w:color="auto"/>
            <w:color w:val="0000FF"/>
          </w:rPr>
          <w:t>Restated Articles of Incorporation of the Company. (Incorporated by reference to Exhibit 3.1 to the Company's Quarterly Report on Form</w:t>
        </w:r>
      </w:hyperlink>
    </w:p>
    <w:p>
      <w:pPr>
        <w:ind w:left="980"/>
        <w:spacing w:after="0"/>
        <w:rPr>
          <w:rFonts w:ascii="Times New Roman" w:cs="Times New Roman" w:eastAsia="Times New Roman" w:hAnsi="Times New Roman"/>
          <w:sz w:val="18"/>
          <w:szCs w:val="18"/>
          <w:u w:val="single" w:color="auto"/>
          <w:color w:val="0000FF"/>
        </w:rPr>
      </w:pPr>
      <w:hyperlink r:id="rId77">
        <w:r>
          <w:rPr>
            <w:rFonts w:ascii="Times New Roman" w:cs="Times New Roman" w:eastAsia="Times New Roman" w:hAnsi="Times New Roman"/>
            <w:sz w:val="18"/>
            <w:szCs w:val="18"/>
            <w:u w:val="single" w:color="auto"/>
            <w:color w:val="0000FF"/>
          </w:rPr>
          <w:t>10-Q for the period ended July 2, 2000, File No. 1-6682.)</w:t>
        </w:r>
      </w:hyperlink>
    </w:p>
    <w:p>
      <w:pPr>
        <w:spacing w:after="0" w:line="70" w:lineRule="exact"/>
        <w:rPr>
          <w:sz w:val="20"/>
          <w:szCs w:val="20"/>
          <w:color w:val="auto"/>
        </w:rPr>
      </w:pPr>
    </w:p>
    <w:p>
      <w:pPr>
        <w:ind w:left="980" w:right="100" w:hanging="314"/>
        <w:spacing w:after="0" w:line="237"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3.2 </w:t>
      </w:r>
      <w:hyperlink r:id="rId78">
        <w:r>
          <w:rPr>
            <w:rFonts w:ascii="Times New Roman" w:cs="Times New Roman" w:eastAsia="Times New Roman" w:hAnsi="Times New Roman"/>
            <w:sz w:val="18"/>
            <w:szCs w:val="18"/>
            <w:u w:val="single" w:color="auto"/>
            <w:color w:val="0000FF"/>
          </w:rPr>
          <w:t>Amendment to Articles of Incorporation, dated June 28, 2000. (Incorporated by reference to Exhibit 3.4 to the Company's Quarterly Report</w:t>
        </w:r>
      </w:hyperlink>
      <w:r>
        <w:rPr>
          <w:rFonts w:ascii="Times New Roman" w:cs="Times New Roman" w:eastAsia="Times New Roman" w:hAnsi="Times New Roman"/>
          <w:sz w:val="18"/>
          <w:szCs w:val="18"/>
          <w:color w:val="auto"/>
        </w:rPr>
        <w:t xml:space="preserve"> </w:t>
      </w:r>
      <w:hyperlink r:id="rId78">
        <w:r>
          <w:rPr>
            <w:rFonts w:ascii="Times New Roman" w:cs="Times New Roman" w:eastAsia="Times New Roman" w:hAnsi="Times New Roman"/>
            <w:sz w:val="18"/>
            <w:szCs w:val="18"/>
            <w:u w:val="single" w:color="auto"/>
            <w:color w:val="0000FF"/>
          </w:rPr>
          <w:t>on Form 10-Q for the period ended July 2, 2000, File No. 1-6682.)</w:t>
        </w:r>
      </w:hyperlink>
    </w:p>
    <w:p>
      <w:pPr>
        <w:spacing w:after="0" w:line="64" w:lineRule="exact"/>
        <w:rPr>
          <w:sz w:val="20"/>
          <w:szCs w:val="20"/>
          <w:color w:val="auto"/>
        </w:rPr>
      </w:pPr>
    </w:p>
    <w:p>
      <w:pPr>
        <w:ind w:left="980" w:right="100" w:hanging="314"/>
        <w:spacing w:after="0" w:line="237"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3.3 </w:t>
      </w:r>
      <w:hyperlink r:id="rId79">
        <w:r>
          <w:rPr>
            <w:rFonts w:ascii="Times New Roman" w:cs="Times New Roman" w:eastAsia="Times New Roman" w:hAnsi="Times New Roman"/>
            <w:sz w:val="18"/>
            <w:szCs w:val="18"/>
            <w:u w:val="single" w:color="auto"/>
            <w:color w:val="0000FF"/>
          </w:rPr>
          <w:t>Amendment to Articles of Incorporation, dated May 19, 2003. (Incorporated by reference to Exhibit 3.3 to the Company's Quarterly Report</w:t>
        </w:r>
      </w:hyperlink>
      <w:r>
        <w:rPr>
          <w:rFonts w:ascii="Times New Roman" w:cs="Times New Roman" w:eastAsia="Times New Roman" w:hAnsi="Times New Roman"/>
          <w:sz w:val="18"/>
          <w:szCs w:val="18"/>
          <w:color w:val="auto"/>
        </w:rPr>
        <w:t xml:space="preserve"> </w:t>
      </w:r>
      <w:hyperlink r:id="rId79">
        <w:r>
          <w:rPr>
            <w:rFonts w:ascii="Times New Roman" w:cs="Times New Roman" w:eastAsia="Times New Roman" w:hAnsi="Times New Roman"/>
            <w:sz w:val="18"/>
            <w:szCs w:val="18"/>
            <w:u w:val="single" w:color="auto"/>
            <w:color w:val="0000FF"/>
          </w:rPr>
          <w:t>on Form 10-Q for the period ended June 29, 2003, File No. 1-6682.)</w:t>
        </w:r>
      </w:hyperlink>
    </w:p>
    <w:p>
      <w:pPr>
        <w:spacing w:after="0" w:line="52" w:lineRule="exact"/>
        <w:rPr>
          <w:sz w:val="20"/>
          <w:szCs w:val="20"/>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3.4 </w:t>
      </w:r>
      <w:hyperlink r:id="rId80">
        <w:r>
          <w:rPr>
            <w:rFonts w:ascii="Times New Roman" w:cs="Times New Roman" w:eastAsia="Times New Roman" w:hAnsi="Times New Roman"/>
            <w:sz w:val="18"/>
            <w:szCs w:val="18"/>
            <w:u w:val="single" w:color="auto"/>
            <w:color w:val="0000FF"/>
          </w:rPr>
          <w:t>Second Amended and Restated Bylaws of the Company (Incorporated by reference to Exhibit 3.1 to the Company’s Current Report on Form</w:t>
        </w:r>
      </w:hyperlink>
    </w:p>
    <w:p>
      <w:pPr>
        <w:ind w:left="980"/>
        <w:spacing w:after="0"/>
        <w:rPr>
          <w:rFonts w:ascii="Times New Roman" w:cs="Times New Roman" w:eastAsia="Times New Roman" w:hAnsi="Times New Roman"/>
          <w:sz w:val="18"/>
          <w:szCs w:val="18"/>
          <w:u w:val="single" w:color="auto"/>
          <w:color w:val="0000FF"/>
        </w:rPr>
      </w:pPr>
      <w:hyperlink r:id="rId80">
        <w:r>
          <w:rPr>
            <w:rFonts w:ascii="Times New Roman" w:cs="Times New Roman" w:eastAsia="Times New Roman" w:hAnsi="Times New Roman"/>
            <w:sz w:val="18"/>
            <w:szCs w:val="18"/>
            <w:u w:val="single" w:color="auto"/>
            <w:color w:val="0000FF"/>
          </w:rPr>
          <w:t>8-K dated September 30, 2022, File No. 1-6682).</w:t>
        </w:r>
      </w:hyperlink>
    </w:p>
    <w:p>
      <w:pPr>
        <w:spacing w:after="0" w:line="70" w:lineRule="exact"/>
        <w:rPr>
          <w:sz w:val="20"/>
          <w:szCs w:val="20"/>
          <w:color w:val="auto"/>
        </w:rPr>
      </w:pPr>
    </w:p>
    <w:p>
      <w:pPr>
        <w:ind w:left="980" w:hanging="314"/>
        <w:spacing w:after="0" w:line="237"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3.5 </w:t>
      </w:r>
      <w:hyperlink r:id="rId81">
        <w:r>
          <w:rPr>
            <w:rFonts w:ascii="Times New Roman" w:cs="Times New Roman" w:eastAsia="Times New Roman" w:hAnsi="Times New Roman"/>
            <w:sz w:val="18"/>
            <w:szCs w:val="18"/>
            <w:u w:val="single" w:color="auto"/>
            <w:color w:val="0000FF"/>
          </w:rPr>
          <w:t>Certificate of Designations of Series C Junior Participating Preference Stock of Hasbro, Inc. dated June 29, 1999. (Incorporated by reference</w:t>
        </w:r>
      </w:hyperlink>
      <w:r>
        <w:rPr>
          <w:rFonts w:ascii="Times New Roman" w:cs="Times New Roman" w:eastAsia="Times New Roman" w:hAnsi="Times New Roman"/>
          <w:sz w:val="18"/>
          <w:szCs w:val="18"/>
          <w:color w:val="auto"/>
        </w:rPr>
        <w:t xml:space="preserve"> </w:t>
      </w:r>
      <w:hyperlink r:id="rId81">
        <w:r>
          <w:rPr>
            <w:rFonts w:ascii="Times New Roman" w:cs="Times New Roman" w:eastAsia="Times New Roman" w:hAnsi="Times New Roman"/>
            <w:sz w:val="18"/>
            <w:szCs w:val="18"/>
            <w:u w:val="single" w:color="auto"/>
            <w:color w:val="0000FF"/>
          </w:rPr>
          <w:t>to Exhibit 3.2 to the Company's Quarterly Report on Form 10-Q for the period ended July 2, 2000, File No. 1-6682.)</w:t>
        </w:r>
      </w:hyperlink>
    </w:p>
    <w:p>
      <w:pPr>
        <w:spacing w:after="0" w:line="64" w:lineRule="exact"/>
        <w:rPr>
          <w:sz w:val="20"/>
          <w:szCs w:val="20"/>
          <w:color w:val="auto"/>
        </w:rPr>
      </w:pPr>
    </w:p>
    <w:p>
      <w:pPr>
        <w:ind w:left="980" w:right="660" w:hanging="314"/>
        <w:spacing w:after="0" w:line="237"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3.6 </w:t>
      </w:r>
      <w:hyperlink r:id="rId82">
        <w:r>
          <w:rPr>
            <w:rFonts w:ascii="Times New Roman" w:cs="Times New Roman" w:eastAsia="Times New Roman" w:hAnsi="Times New Roman"/>
            <w:sz w:val="18"/>
            <w:szCs w:val="18"/>
            <w:u w:val="single" w:color="auto"/>
            <w:color w:val="0000FF"/>
          </w:rPr>
          <w:t>Certificate of Vote(s) authorizing a decrease of class or series of any class of shares. (Incorporated by reference to Exhibit 3.3 to the</w:t>
        </w:r>
      </w:hyperlink>
      <w:r>
        <w:rPr>
          <w:rFonts w:ascii="Times New Roman" w:cs="Times New Roman" w:eastAsia="Times New Roman" w:hAnsi="Times New Roman"/>
          <w:sz w:val="18"/>
          <w:szCs w:val="18"/>
          <w:color w:val="auto"/>
        </w:rPr>
        <w:t xml:space="preserve"> </w:t>
      </w:r>
      <w:hyperlink r:id="rId82">
        <w:r>
          <w:rPr>
            <w:rFonts w:ascii="Times New Roman" w:cs="Times New Roman" w:eastAsia="Times New Roman" w:hAnsi="Times New Roman"/>
            <w:sz w:val="18"/>
            <w:szCs w:val="18"/>
            <w:u w:val="single" w:color="auto"/>
            <w:color w:val="0000FF"/>
          </w:rPr>
          <w:t>Company's Quarterly Report on Form 10-Q for the period ended July 2, 2000, File No 1-6682.)</w:t>
        </w:r>
      </w:hyperlink>
    </w:p>
    <w:p>
      <w:pPr>
        <w:spacing w:after="0" w:line="64" w:lineRule="exact"/>
        <w:rPr>
          <w:sz w:val="20"/>
          <w:szCs w:val="20"/>
          <w:color w:val="auto"/>
        </w:rPr>
      </w:pPr>
    </w:p>
    <w:p>
      <w:pPr>
        <w:ind w:left="980" w:right="40" w:hanging="314"/>
        <w:spacing w:after="0" w:line="226"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4.1 </w:t>
      </w:r>
      <w:hyperlink r:id="rId83">
        <w:r>
          <w:rPr>
            <w:rFonts w:ascii="Times New Roman" w:cs="Times New Roman" w:eastAsia="Times New Roman" w:hAnsi="Times New Roman"/>
            <w:sz w:val="18"/>
            <w:szCs w:val="18"/>
            <w:u w:val="single" w:color="auto"/>
            <w:color w:val="0000FF"/>
          </w:rPr>
          <w:t>Indenture, dated as of July 17, 1998, by and between the Company and The Bank of New York Mellon Trust Company, N.A. as successor</w:t>
        </w:r>
      </w:hyperlink>
      <w:r>
        <w:rPr>
          <w:rFonts w:ascii="Times New Roman" w:cs="Times New Roman" w:eastAsia="Times New Roman" w:hAnsi="Times New Roman"/>
          <w:sz w:val="18"/>
          <w:szCs w:val="18"/>
          <w:color w:val="auto"/>
        </w:rPr>
        <w:t xml:space="preserve"> </w:t>
      </w:r>
      <w:hyperlink r:id="rId83">
        <w:r>
          <w:rPr>
            <w:rFonts w:ascii="Times New Roman" w:cs="Times New Roman" w:eastAsia="Times New Roman" w:hAnsi="Times New Roman"/>
            <w:sz w:val="18"/>
            <w:szCs w:val="18"/>
            <w:u w:val="single" w:color="auto"/>
            <w:color w:val="0000FF"/>
          </w:rPr>
          <w:t>Trustee to Citibank, N.A. as Trustee. (Incorporated by reference to Exhibit 4.1 to the Company's Current Report on Form 8-K dated July 14,</w:t>
        </w:r>
      </w:hyperlink>
      <w:r>
        <w:rPr>
          <w:rFonts w:ascii="Times New Roman" w:cs="Times New Roman" w:eastAsia="Times New Roman" w:hAnsi="Times New Roman"/>
          <w:sz w:val="18"/>
          <w:szCs w:val="18"/>
          <w:u w:val="single" w:color="auto"/>
          <w:color w:val="0000FF"/>
        </w:rPr>
        <w:t xml:space="preserve"> </w:t>
      </w:r>
      <w:hyperlink r:id="rId83">
        <w:r>
          <w:rPr>
            <w:rFonts w:ascii="Times New Roman" w:cs="Times New Roman" w:eastAsia="Times New Roman" w:hAnsi="Times New Roman"/>
            <w:sz w:val="18"/>
            <w:szCs w:val="18"/>
            <w:u w:val="single" w:color="auto"/>
            <w:color w:val="0000FF"/>
          </w:rPr>
          <w:t>1998, File No. 1-6682.)</w:t>
        </w:r>
      </w:hyperlink>
    </w:p>
    <w:p>
      <w:pPr>
        <w:spacing w:after="0" w:line="63" w:lineRule="exact"/>
        <w:rPr>
          <w:rFonts w:ascii="Times New Roman" w:cs="Times New Roman" w:eastAsia="Times New Roman" w:hAnsi="Times New Roman"/>
          <w:sz w:val="18"/>
          <w:szCs w:val="18"/>
          <w:color w:val="auto"/>
        </w:rPr>
      </w:pPr>
    </w:p>
    <w:p>
      <w:pPr>
        <w:ind w:left="980" w:right="40" w:hanging="314"/>
        <w:spacing w:after="0" w:line="226"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4.2 </w:t>
      </w:r>
      <w:hyperlink r:id="rId84">
        <w:r>
          <w:rPr>
            <w:rFonts w:ascii="Times New Roman" w:cs="Times New Roman" w:eastAsia="Times New Roman" w:hAnsi="Times New Roman"/>
            <w:sz w:val="18"/>
            <w:szCs w:val="18"/>
            <w:u w:val="single" w:color="auto"/>
            <w:color w:val="0000FF"/>
          </w:rPr>
          <w:t>Indenture, dated as of March 15, 2000, by and between the Company and The Bank of New York Mellon Trust Company, N.A. as successor</w:t>
        </w:r>
      </w:hyperlink>
      <w:r>
        <w:rPr>
          <w:rFonts w:ascii="Times New Roman" w:cs="Times New Roman" w:eastAsia="Times New Roman" w:hAnsi="Times New Roman"/>
          <w:sz w:val="18"/>
          <w:szCs w:val="18"/>
          <w:color w:val="auto"/>
        </w:rPr>
        <w:t xml:space="preserve"> </w:t>
      </w:r>
      <w:hyperlink r:id="rId84">
        <w:r>
          <w:rPr>
            <w:rFonts w:ascii="Times New Roman" w:cs="Times New Roman" w:eastAsia="Times New Roman" w:hAnsi="Times New Roman"/>
            <w:sz w:val="18"/>
            <w:szCs w:val="18"/>
            <w:u w:val="single" w:color="auto"/>
            <w:color w:val="0000FF"/>
          </w:rPr>
          <w:t>Trustee to the Bank of Nova Scotia Trust Company of New York. (Incorporated by reference to Exhibit 4(b)(i) to the Company's Annual</w:t>
        </w:r>
      </w:hyperlink>
      <w:r>
        <w:rPr>
          <w:rFonts w:ascii="Times New Roman" w:cs="Times New Roman" w:eastAsia="Times New Roman" w:hAnsi="Times New Roman"/>
          <w:sz w:val="18"/>
          <w:szCs w:val="18"/>
          <w:u w:val="single" w:color="auto"/>
          <w:color w:val="0000FF"/>
        </w:rPr>
        <w:t xml:space="preserve"> </w:t>
      </w:r>
      <w:hyperlink r:id="rId84">
        <w:r>
          <w:rPr>
            <w:rFonts w:ascii="Times New Roman" w:cs="Times New Roman" w:eastAsia="Times New Roman" w:hAnsi="Times New Roman"/>
            <w:sz w:val="18"/>
            <w:szCs w:val="18"/>
            <w:u w:val="single" w:color="auto"/>
            <w:color w:val="0000FF"/>
          </w:rPr>
          <w:t>Report on Form 10-K for the fiscal year ended December 26, 1999, File No. 1-6682.)</w:t>
        </w:r>
      </w:hyperlink>
    </w:p>
    <w:p>
      <w:pPr>
        <w:spacing w:after="0" w:line="63" w:lineRule="exact"/>
        <w:rPr>
          <w:rFonts w:ascii="Times New Roman" w:cs="Times New Roman" w:eastAsia="Times New Roman" w:hAnsi="Times New Roman"/>
          <w:sz w:val="18"/>
          <w:szCs w:val="18"/>
          <w:color w:val="auto"/>
        </w:rPr>
      </w:pPr>
    </w:p>
    <w:p>
      <w:pPr>
        <w:ind w:left="980" w:right="180" w:hanging="314"/>
        <w:spacing w:after="0" w:line="226"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4.3 </w:t>
      </w:r>
      <w:hyperlink r:id="rId85">
        <w:r>
          <w:rPr>
            <w:rFonts w:ascii="Times New Roman" w:cs="Times New Roman" w:eastAsia="Times New Roman" w:hAnsi="Times New Roman"/>
            <w:sz w:val="18"/>
            <w:szCs w:val="18"/>
            <w:u w:val="single" w:color="auto"/>
            <w:color w:val="0000FF"/>
          </w:rPr>
          <w:t>First Supplemental Indenture, dated as of September 17, 2007, between the Company and The Bank of New York Mellon Trust Company,</w:t>
        </w:r>
      </w:hyperlink>
      <w:r>
        <w:rPr>
          <w:rFonts w:ascii="Times New Roman" w:cs="Times New Roman" w:eastAsia="Times New Roman" w:hAnsi="Times New Roman"/>
          <w:sz w:val="18"/>
          <w:szCs w:val="18"/>
          <w:color w:val="auto"/>
        </w:rPr>
        <w:t xml:space="preserve"> </w:t>
      </w:r>
      <w:hyperlink r:id="rId85">
        <w:r>
          <w:rPr>
            <w:rFonts w:ascii="Times New Roman" w:cs="Times New Roman" w:eastAsia="Times New Roman" w:hAnsi="Times New Roman"/>
            <w:sz w:val="18"/>
            <w:szCs w:val="18"/>
            <w:u w:val="single" w:color="auto"/>
            <w:color w:val="0000FF"/>
          </w:rPr>
          <w:t>N.A. as successor Trustee to the Bank of Nova Scotia Trust Company of New York. (Incorporated by reference to Exhibit 4.1 to the</w:t>
        </w:r>
      </w:hyperlink>
      <w:r>
        <w:rPr>
          <w:rFonts w:ascii="Times New Roman" w:cs="Times New Roman" w:eastAsia="Times New Roman" w:hAnsi="Times New Roman"/>
          <w:sz w:val="18"/>
          <w:szCs w:val="18"/>
          <w:u w:val="single" w:color="auto"/>
          <w:color w:val="0000FF"/>
        </w:rPr>
        <w:t xml:space="preserve"> </w:t>
      </w:r>
      <w:hyperlink r:id="rId85">
        <w:r>
          <w:rPr>
            <w:rFonts w:ascii="Times New Roman" w:cs="Times New Roman" w:eastAsia="Times New Roman" w:hAnsi="Times New Roman"/>
            <w:sz w:val="18"/>
            <w:szCs w:val="18"/>
            <w:u w:val="single" w:color="auto"/>
            <w:color w:val="0000FF"/>
          </w:rPr>
          <w:t>Company's Current Report on Form 8-K filed September 17, 2007, File No. 1-6682.)</w:t>
        </w:r>
      </w:hyperlink>
    </w:p>
    <w:p>
      <w:pPr>
        <w:spacing w:after="0" w:line="63" w:lineRule="exact"/>
        <w:rPr>
          <w:rFonts w:ascii="Times New Roman" w:cs="Times New Roman" w:eastAsia="Times New Roman" w:hAnsi="Times New Roman"/>
          <w:sz w:val="18"/>
          <w:szCs w:val="18"/>
          <w:color w:val="auto"/>
        </w:rPr>
      </w:pPr>
    </w:p>
    <w:p>
      <w:pPr>
        <w:ind w:left="980" w:right="40" w:hanging="314"/>
        <w:spacing w:after="0" w:line="226"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4.4 </w:t>
      </w:r>
      <w:hyperlink r:id="rId86">
        <w:r>
          <w:rPr>
            <w:rFonts w:ascii="Times New Roman" w:cs="Times New Roman" w:eastAsia="Times New Roman" w:hAnsi="Times New Roman"/>
            <w:sz w:val="18"/>
            <w:szCs w:val="18"/>
            <w:u w:val="single" w:color="auto"/>
            <w:color w:val="0000FF"/>
          </w:rPr>
          <w:t>Second Supplemental Indenture, dated as of May 13, 2009, between the Company and The Bank of New York Mellon Trust Company, N.A.</w:t>
        </w:r>
      </w:hyperlink>
      <w:r>
        <w:rPr>
          <w:rFonts w:ascii="Times New Roman" w:cs="Times New Roman" w:eastAsia="Times New Roman" w:hAnsi="Times New Roman"/>
          <w:sz w:val="18"/>
          <w:szCs w:val="18"/>
          <w:color w:val="auto"/>
        </w:rPr>
        <w:t xml:space="preserve"> </w:t>
      </w:r>
      <w:hyperlink r:id="rId86">
        <w:r>
          <w:rPr>
            <w:rFonts w:ascii="Times New Roman" w:cs="Times New Roman" w:eastAsia="Times New Roman" w:hAnsi="Times New Roman"/>
            <w:sz w:val="18"/>
            <w:szCs w:val="18"/>
            <w:u w:val="single" w:color="auto"/>
            <w:color w:val="0000FF"/>
          </w:rPr>
          <w:t>as successor Trustee to the Bank of Nova Scotia Trust Company of New York. (Incorporated by reference to Exhibit 4.1 to the Company's</w:t>
        </w:r>
      </w:hyperlink>
      <w:r>
        <w:rPr>
          <w:rFonts w:ascii="Times New Roman" w:cs="Times New Roman" w:eastAsia="Times New Roman" w:hAnsi="Times New Roman"/>
          <w:sz w:val="18"/>
          <w:szCs w:val="18"/>
          <w:u w:val="single" w:color="auto"/>
          <w:color w:val="0000FF"/>
        </w:rPr>
        <w:t xml:space="preserve"> </w:t>
      </w:r>
      <w:hyperlink r:id="rId86">
        <w:r>
          <w:rPr>
            <w:rFonts w:ascii="Times New Roman" w:cs="Times New Roman" w:eastAsia="Times New Roman" w:hAnsi="Times New Roman"/>
            <w:sz w:val="18"/>
            <w:szCs w:val="18"/>
            <w:u w:val="single" w:color="auto"/>
            <w:color w:val="0000FF"/>
          </w:rPr>
          <w:t>Current Report on Form 8-K filed May 13, 2009, File No. 1-6682.)</w:t>
        </w:r>
      </w:hyperlink>
    </w:p>
    <w:p>
      <w:pPr>
        <w:spacing w:after="0" w:line="63" w:lineRule="exact"/>
        <w:rPr>
          <w:rFonts w:ascii="Times New Roman" w:cs="Times New Roman" w:eastAsia="Times New Roman" w:hAnsi="Times New Roman"/>
          <w:sz w:val="18"/>
          <w:szCs w:val="18"/>
          <w:color w:val="auto"/>
        </w:rPr>
      </w:pPr>
    </w:p>
    <w:p>
      <w:pPr>
        <w:ind w:left="980" w:right="20" w:hanging="314"/>
        <w:spacing w:after="0" w:line="226"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4.5 </w:t>
      </w:r>
      <w:hyperlink r:id="rId87">
        <w:r>
          <w:rPr>
            <w:rFonts w:ascii="Times New Roman" w:cs="Times New Roman" w:eastAsia="Times New Roman" w:hAnsi="Times New Roman"/>
            <w:sz w:val="18"/>
            <w:szCs w:val="18"/>
            <w:u w:val="single" w:color="auto"/>
            <w:color w:val="0000FF"/>
          </w:rPr>
          <w:t>Third Supplemental Indenture, dated as of March 11, 2010, between the Company and The Bank of New York Mellon Trust Company, N.A.</w:t>
        </w:r>
      </w:hyperlink>
      <w:r>
        <w:rPr>
          <w:rFonts w:ascii="Times New Roman" w:cs="Times New Roman" w:eastAsia="Times New Roman" w:hAnsi="Times New Roman"/>
          <w:sz w:val="18"/>
          <w:szCs w:val="18"/>
          <w:color w:val="auto"/>
        </w:rPr>
        <w:t xml:space="preserve"> </w:t>
      </w:r>
      <w:hyperlink r:id="rId87">
        <w:r>
          <w:rPr>
            <w:rFonts w:ascii="Times New Roman" w:cs="Times New Roman" w:eastAsia="Times New Roman" w:hAnsi="Times New Roman"/>
            <w:sz w:val="18"/>
            <w:szCs w:val="18"/>
            <w:u w:val="single" w:color="auto"/>
            <w:color w:val="0000FF"/>
          </w:rPr>
          <w:t>as successor Trustee to the Bank of Nova Scotia Trust Company of New York. (Incorporated by reference to Exhibit 4.1 to the Company's</w:t>
        </w:r>
      </w:hyperlink>
      <w:r>
        <w:rPr>
          <w:rFonts w:ascii="Times New Roman" w:cs="Times New Roman" w:eastAsia="Times New Roman" w:hAnsi="Times New Roman"/>
          <w:sz w:val="18"/>
          <w:szCs w:val="18"/>
          <w:u w:val="single" w:color="auto"/>
          <w:color w:val="0000FF"/>
        </w:rPr>
        <w:t xml:space="preserve"> </w:t>
      </w:r>
      <w:hyperlink r:id="rId87">
        <w:r>
          <w:rPr>
            <w:rFonts w:ascii="Times New Roman" w:cs="Times New Roman" w:eastAsia="Times New Roman" w:hAnsi="Times New Roman"/>
            <w:sz w:val="18"/>
            <w:szCs w:val="18"/>
            <w:u w:val="single" w:color="auto"/>
            <w:color w:val="0000FF"/>
          </w:rPr>
          <w:t>Current Report on Form 8-K filed March 11, 2010, File No. 1-6682.)</w:t>
        </w:r>
      </w:hyperlink>
    </w:p>
    <w:p>
      <w:pPr>
        <w:spacing w:after="0" w:line="63" w:lineRule="exact"/>
        <w:rPr>
          <w:rFonts w:ascii="Times New Roman" w:cs="Times New Roman" w:eastAsia="Times New Roman" w:hAnsi="Times New Roman"/>
          <w:sz w:val="18"/>
          <w:szCs w:val="18"/>
          <w:color w:val="auto"/>
        </w:rPr>
      </w:pPr>
    </w:p>
    <w:p>
      <w:pPr>
        <w:jc w:val="both"/>
        <w:ind w:left="980" w:right="280" w:hanging="314"/>
        <w:spacing w:after="0" w:line="226"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4.6 </w:t>
      </w:r>
      <w:hyperlink r:id="rId88">
        <w:r>
          <w:rPr>
            <w:rFonts w:ascii="Times New Roman" w:cs="Times New Roman" w:eastAsia="Times New Roman" w:hAnsi="Times New Roman"/>
            <w:sz w:val="18"/>
            <w:szCs w:val="18"/>
            <w:u w:val="single" w:color="auto"/>
            <w:color w:val="0000FF"/>
          </w:rPr>
          <w:t>Fourth Supplemental Indenture, dated May 13, 2014, between the Company and The Bank of New York Mellon Trust Company, N.A. as</w:t>
        </w:r>
      </w:hyperlink>
      <w:r>
        <w:rPr>
          <w:rFonts w:ascii="Times New Roman" w:cs="Times New Roman" w:eastAsia="Times New Roman" w:hAnsi="Times New Roman"/>
          <w:sz w:val="18"/>
          <w:szCs w:val="18"/>
          <w:color w:val="auto"/>
        </w:rPr>
        <w:t xml:space="preserve"> </w:t>
      </w:r>
      <w:hyperlink r:id="rId88">
        <w:r>
          <w:rPr>
            <w:rFonts w:ascii="Times New Roman" w:cs="Times New Roman" w:eastAsia="Times New Roman" w:hAnsi="Times New Roman"/>
            <w:sz w:val="18"/>
            <w:szCs w:val="18"/>
            <w:u w:val="single" w:color="auto"/>
            <w:color w:val="0000FF"/>
          </w:rPr>
          <w:t>successor Trustee to the Bank of Nova Scotia Trust Company of New York. (Incorporated by reference to Exhibit 4.1 to the Company's</w:t>
        </w:r>
      </w:hyperlink>
      <w:r>
        <w:rPr>
          <w:rFonts w:ascii="Times New Roman" w:cs="Times New Roman" w:eastAsia="Times New Roman" w:hAnsi="Times New Roman"/>
          <w:sz w:val="18"/>
          <w:szCs w:val="18"/>
          <w:u w:val="single" w:color="auto"/>
          <w:color w:val="0000FF"/>
        </w:rPr>
        <w:t xml:space="preserve"> </w:t>
      </w:r>
      <w:hyperlink r:id="rId88">
        <w:r>
          <w:rPr>
            <w:rFonts w:ascii="Times New Roman" w:cs="Times New Roman" w:eastAsia="Times New Roman" w:hAnsi="Times New Roman"/>
            <w:sz w:val="18"/>
            <w:szCs w:val="18"/>
            <w:u w:val="single" w:color="auto"/>
            <w:color w:val="0000FF"/>
          </w:rPr>
          <w:t>Current Report on Form 8-K filed May 13, 2014, file No. 1-6682.)</w:t>
        </w:r>
      </w:hyperlink>
    </w:p>
    <w:p>
      <w:pPr>
        <w:spacing w:after="0" w:line="63" w:lineRule="exact"/>
        <w:rPr>
          <w:rFonts w:ascii="Times New Roman" w:cs="Times New Roman" w:eastAsia="Times New Roman" w:hAnsi="Times New Roman"/>
          <w:sz w:val="18"/>
          <w:szCs w:val="18"/>
          <w:color w:val="auto"/>
        </w:rPr>
      </w:pPr>
    </w:p>
    <w:p>
      <w:pPr>
        <w:jc w:val="both"/>
        <w:ind w:left="980" w:right="160" w:hanging="314"/>
        <w:spacing w:after="0" w:line="226"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4.7 </w:t>
      </w:r>
      <w:hyperlink r:id="rId89">
        <w:r>
          <w:rPr>
            <w:rFonts w:ascii="Times New Roman" w:cs="Times New Roman" w:eastAsia="Times New Roman" w:hAnsi="Times New Roman"/>
            <w:sz w:val="18"/>
            <w:szCs w:val="18"/>
            <w:u w:val="single" w:color="auto"/>
            <w:color w:val="0000FF"/>
          </w:rPr>
          <w:t>Fifth Supplemental Indenture, dated September 13, 2017, between the Company and The Bank of New York Mellon Trust Company, N.A.</w:t>
        </w:r>
      </w:hyperlink>
      <w:r>
        <w:rPr>
          <w:rFonts w:ascii="Times New Roman" w:cs="Times New Roman" w:eastAsia="Times New Roman" w:hAnsi="Times New Roman"/>
          <w:sz w:val="18"/>
          <w:szCs w:val="18"/>
          <w:color w:val="auto"/>
        </w:rPr>
        <w:t xml:space="preserve"> </w:t>
      </w:r>
      <w:hyperlink r:id="rId89">
        <w:r>
          <w:rPr>
            <w:rFonts w:ascii="Times New Roman" w:cs="Times New Roman" w:eastAsia="Times New Roman" w:hAnsi="Times New Roman"/>
            <w:sz w:val="18"/>
            <w:szCs w:val="18"/>
            <w:u w:val="single" w:color="auto"/>
            <w:color w:val="0000FF"/>
          </w:rPr>
          <w:t>as successor Trustee to the Bank of Nova Scotia Trust Company of New York. (Incorporated by reference to Exhibit 4.1 to the Company's</w:t>
        </w:r>
      </w:hyperlink>
      <w:r>
        <w:rPr>
          <w:rFonts w:ascii="Times New Roman" w:cs="Times New Roman" w:eastAsia="Times New Roman" w:hAnsi="Times New Roman"/>
          <w:sz w:val="18"/>
          <w:szCs w:val="18"/>
          <w:u w:val="single" w:color="auto"/>
          <w:color w:val="0000FF"/>
        </w:rPr>
        <w:t xml:space="preserve"> </w:t>
      </w:r>
      <w:hyperlink r:id="rId89">
        <w:r>
          <w:rPr>
            <w:rFonts w:ascii="Times New Roman" w:cs="Times New Roman" w:eastAsia="Times New Roman" w:hAnsi="Times New Roman"/>
            <w:sz w:val="18"/>
            <w:szCs w:val="18"/>
            <w:u w:val="single" w:color="auto"/>
            <w:color w:val="0000FF"/>
          </w:rPr>
          <w:t>Current Report on Form 8-K filed September 13, 2017, file No. 1-6682.)</w:t>
        </w:r>
      </w:hyperlink>
    </w:p>
    <w:p>
      <w:pPr>
        <w:spacing w:after="0" w:line="63" w:lineRule="exact"/>
        <w:rPr>
          <w:rFonts w:ascii="Times New Roman" w:cs="Times New Roman" w:eastAsia="Times New Roman" w:hAnsi="Times New Roman"/>
          <w:sz w:val="18"/>
          <w:szCs w:val="18"/>
          <w:color w:val="auto"/>
        </w:rPr>
      </w:pPr>
    </w:p>
    <w:p>
      <w:pPr>
        <w:ind w:left="980" w:right="160" w:hanging="314"/>
        <w:spacing w:after="0" w:line="226"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4.8 </w:t>
      </w:r>
      <w:hyperlink r:id="rId90">
        <w:r>
          <w:rPr>
            <w:rFonts w:ascii="Times New Roman" w:cs="Times New Roman" w:eastAsia="Times New Roman" w:hAnsi="Times New Roman"/>
            <w:sz w:val="18"/>
            <w:szCs w:val="18"/>
            <w:u w:val="single" w:color="auto"/>
            <w:color w:val="0000FF"/>
          </w:rPr>
          <w:t>Sixth Supplemental Indenture dated as of November 19, 2019, among the Company and The Bank of New York Mellon Trust Company,</w:t>
        </w:r>
      </w:hyperlink>
      <w:r>
        <w:rPr>
          <w:rFonts w:ascii="Times New Roman" w:cs="Times New Roman" w:eastAsia="Times New Roman" w:hAnsi="Times New Roman"/>
          <w:sz w:val="18"/>
          <w:szCs w:val="18"/>
          <w:color w:val="auto"/>
        </w:rPr>
        <w:t xml:space="preserve"> </w:t>
      </w:r>
      <w:hyperlink r:id="rId90">
        <w:r>
          <w:rPr>
            <w:rFonts w:ascii="Times New Roman" w:cs="Times New Roman" w:eastAsia="Times New Roman" w:hAnsi="Times New Roman"/>
            <w:sz w:val="18"/>
            <w:szCs w:val="18"/>
            <w:u w:val="single" w:color="auto"/>
            <w:color w:val="0000FF"/>
          </w:rPr>
          <w:t>N.A. and U.S. Bank, National Association, supplementing the Indenture dated as of March 15, 2000. (Incorporated by reference to Exhibit</w:t>
        </w:r>
      </w:hyperlink>
      <w:r>
        <w:rPr>
          <w:rFonts w:ascii="Times New Roman" w:cs="Times New Roman" w:eastAsia="Times New Roman" w:hAnsi="Times New Roman"/>
          <w:sz w:val="18"/>
          <w:szCs w:val="18"/>
          <w:u w:val="single" w:color="auto"/>
          <w:color w:val="0000FF"/>
        </w:rPr>
        <w:t xml:space="preserve"> </w:t>
      </w:r>
      <w:hyperlink r:id="rId90">
        <w:r>
          <w:rPr>
            <w:rFonts w:ascii="Times New Roman" w:cs="Times New Roman" w:eastAsia="Times New Roman" w:hAnsi="Times New Roman"/>
            <w:sz w:val="18"/>
            <w:szCs w:val="18"/>
            <w:u w:val="single" w:color="auto"/>
            <w:color w:val="0000FF"/>
          </w:rPr>
          <w:t>1.2 to the Company’s Current Report on Form 8-K filed November 19, 2019, File No. 1-6682.)</w:t>
        </w:r>
      </w:hyperlink>
    </w:p>
    <w:p>
      <w:pPr>
        <w:spacing w:after="0" w:line="63" w:lineRule="exact"/>
        <w:rPr>
          <w:rFonts w:ascii="Times New Roman" w:cs="Times New Roman" w:eastAsia="Times New Roman" w:hAnsi="Times New Roman"/>
          <w:sz w:val="18"/>
          <w:szCs w:val="18"/>
          <w:color w:val="auto"/>
        </w:rPr>
      </w:pPr>
    </w:p>
    <w:p>
      <w:pPr>
        <w:ind w:left="540"/>
        <w:spacing w:after="0"/>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0000FF"/>
        </w:rPr>
        <w:t>Certification of the Chief Executive Officer Pursuant to Rule 13a-14(a) under the Securities Exchange Act of 1934.</w:t>
      </w:r>
    </w:p>
    <w:p>
      <w:pPr>
        <w:spacing w:after="0" w:line="77" w:lineRule="exact"/>
        <w:rPr>
          <w:rFonts w:ascii="Times New Roman" w:cs="Times New Roman" w:eastAsia="Times New Roman" w:hAnsi="Times New Roman"/>
          <w:sz w:val="18"/>
          <w:szCs w:val="18"/>
          <w:color w:val="auto"/>
        </w:rPr>
      </w:pPr>
    </w:p>
    <w:p>
      <w:pPr>
        <w:ind w:left="540"/>
        <w:spacing w:after="0"/>
        <w:rPr>
          <w:sz w:val="20"/>
          <w:szCs w:val="20"/>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u w:val="single" w:color="auto"/>
          <w:color w:val="0000FF"/>
        </w:rPr>
        <w:t>Certification of the Chief Financial Officer Pursuant to Rule 13a-14(a) under the Securities Exchange Act of 1934.</w:t>
      </w:r>
    </w:p>
    <w:p>
      <w:pPr>
        <w:spacing w:after="0" w:line="117" w:lineRule="exact"/>
        <w:rPr>
          <w:rFonts w:ascii="Times New Roman" w:cs="Times New Roman" w:eastAsia="Times New Roman" w:hAnsi="Times New Roman"/>
          <w:sz w:val="18"/>
          <w:szCs w:val="18"/>
          <w:color w:val="auto"/>
        </w:rPr>
      </w:pPr>
    </w:p>
    <w:p>
      <w:pPr>
        <w:ind w:left="540"/>
        <w:spacing w:after="0"/>
        <w:rPr>
          <w:sz w:val="20"/>
          <w:szCs w:val="20"/>
          <w:color w:val="auto"/>
        </w:rPr>
      </w:pPr>
      <w:r>
        <w:rPr>
          <w:rFonts w:ascii="Times New Roman" w:cs="Times New Roman" w:eastAsia="Times New Roman" w:hAnsi="Times New Roman"/>
          <w:sz w:val="18"/>
          <w:szCs w:val="18"/>
          <w:color w:val="auto"/>
        </w:rPr>
        <w:t xml:space="preserve">32.1* </w:t>
      </w:r>
      <w:r>
        <w:rPr>
          <w:rFonts w:ascii="Times New Roman" w:cs="Times New Roman" w:eastAsia="Times New Roman" w:hAnsi="Times New Roman"/>
          <w:sz w:val="18"/>
          <w:szCs w:val="18"/>
          <w:u w:val="single" w:color="auto"/>
          <w:color w:val="0000FF"/>
        </w:rPr>
        <w:t>Certification of the Chief Executive Officer Pursuant to Rule 13a-14(b) under the Securities Exchange Act of 1934.</w:t>
      </w:r>
    </w:p>
    <w:p>
      <w:pPr>
        <w:spacing w:after="0" w:line="77" w:lineRule="exact"/>
        <w:rPr>
          <w:rFonts w:ascii="Times New Roman" w:cs="Times New Roman" w:eastAsia="Times New Roman" w:hAnsi="Times New Roman"/>
          <w:sz w:val="18"/>
          <w:szCs w:val="18"/>
          <w:color w:val="auto"/>
        </w:rPr>
      </w:pPr>
    </w:p>
    <w:p>
      <w:pPr>
        <w:ind w:left="540"/>
        <w:spacing w:after="0"/>
        <w:rPr>
          <w:sz w:val="20"/>
          <w:szCs w:val="20"/>
          <w:color w:val="auto"/>
        </w:rPr>
      </w:pPr>
      <w:r>
        <w:rPr>
          <w:rFonts w:ascii="Times New Roman" w:cs="Times New Roman" w:eastAsia="Times New Roman" w:hAnsi="Times New Roman"/>
          <w:sz w:val="18"/>
          <w:szCs w:val="18"/>
          <w:color w:val="auto"/>
        </w:rPr>
        <w:t xml:space="preserve">32.2* </w:t>
      </w:r>
      <w:r>
        <w:rPr>
          <w:rFonts w:ascii="Times New Roman" w:cs="Times New Roman" w:eastAsia="Times New Roman" w:hAnsi="Times New Roman"/>
          <w:sz w:val="18"/>
          <w:szCs w:val="18"/>
          <w:u w:val="single" w:color="auto"/>
          <w:color w:val="0000FF"/>
        </w:rPr>
        <w:t>Certification of the Chief Financial Officer Pursuant to Rule 13a-14(b) under the Securities Exchange Act of 1934.</w:t>
      </w:r>
    </w:p>
    <w:p>
      <w:pPr>
        <w:spacing w:after="0" w:line="77" w:lineRule="exact"/>
        <w:rPr>
          <w:rFonts w:ascii="Times New Roman" w:cs="Times New Roman" w:eastAsia="Times New Roman" w:hAnsi="Times New Roman"/>
          <w:sz w:val="18"/>
          <w:szCs w:val="18"/>
          <w:color w:val="auto"/>
        </w:rPr>
      </w:pPr>
    </w:p>
    <w:p>
      <w:pPr>
        <w:ind w:left="980" w:right="60" w:hanging="640"/>
        <w:spacing w:after="0" w:line="237" w:lineRule="auto"/>
        <w:rPr>
          <w:sz w:val="20"/>
          <w:szCs w:val="20"/>
          <w:color w:val="auto"/>
        </w:rPr>
      </w:pPr>
      <w:r>
        <w:rPr>
          <w:rFonts w:ascii="Times New Roman" w:cs="Times New Roman" w:eastAsia="Times New Roman" w:hAnsi="Times New Roman"/>
          <w:sz w:val="18"/>
          <w:szCs w:val="18"/>
          <w:color w:val="auto"/>
        </w:rPr>
        <w:t>101.INS XBRL Instance Document - the instance document does not appear in the Interactive Data File because its XBRL tags are embedded within the Inline XBRL Document.</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-6985</wp:posOffset>
            </wp:positionH>
            <wp:positionV relativeFrom="paragraph">
              <wp:posOffset>605155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887" w:right="459" w:bottom="1440" w:gutter="0" w:footer="0" w:header="0"/>
        </w:sectPr>
      </w:pPr>
    </w:p>
    <w:bookmarkStart w:id="53" w:name="page54"/>
    <w:bookmarkEnd w:id="53"/>
    <w:p>
      <w:pPr>
        <w:ind w:left="280"/>
        <w:spacing w:after="0"/>
        <w:rPr>
          <w:sz w:val="20"/>
          <w:szCs w:val="20"/>
          <w:color w:val="auto"/>
        </w:rPr>
      </w:pPr>
      <w:r>
        <w:rPr>
          <w:rFonts w:ascii="Times New Roman" w:cs="Times New Roman" w:eastAsia="Times New Roman" w:hAnsi="Times New Roman"/>
          <w:sz w:val="18"/>
          <w:szCs w:val="18"/>
          <w:color w:val="auto"/>
        </w:rPr>
        <w:t>101.SCH XBRL Taxonomy Extension Schema Document</w:t>
      </w:r>
    </w:p>
    <w:p>
      <w:pPr>
        <w:spacing w:after="0" w:line="7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101.CAL XBRL Taxonomy Extension Calculation Linkbase Document</w:t>
      </w:r>
    </w:p>
    <w:p>
      <w:pPr>
        <w:spacing w:after="0" w:line="7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101.LAB XBRL Taxonomy Extension Labels Linkbase Document</w:t>
      </w:r>
    </w:p>
    <w:p>
      <w:pPr>
        <w:spacing w:after="0" w:line="7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101.PRE XBRL Taxonomy Extension Presentation Linkbase Document</w:t>
      </w:r>
    </w:p>
    <w:p>
      <w:pPr>
        <w:spacing w:after="0" w:line="7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101.DEF XBRL Taxonomy Extension Definition Linkbase Document</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Furnished herewith</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 Indicates management contract or compensatory plan, contract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577215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80" w:right="1440" w:bottom="1440" w:gutter="0" w:footer="0" w:header="0"/>
        </w:sectPr>
      </w:pPr>
    </w:p>
    <w:bookmarkStart w:id="54" w:name="page55"/>
    <w:bookmarkEnd w:id="54"/>
    <w:p>
      <w:pPr>
        <w:jc w:val="center"/>
        <w:ind w:right="-39"/>
        <w:spacing w:after="0"/>
        <w:rPr>
          <w:sz w:val="20"/>
          <w:szCs w:val="20"/>
          <w:color w:val="auto"/>
        </w:rPr>
      </w:pPr>
      <w:r>
        <w:rPr>
          <w:rFonts w:ascii="Times New Roman" w:cs="Times New Roman" w:eastAsia="Times New Roman" w:hAnsi="Times New Roman"/>
          <w:sz w:val="18"/>
          <w:szCs w:val="18"/>
          <w:color w:val="auto"/>
        </w:rPr>
        <w:t>SIGNATURES</w:t>
      </w:r>
    </w:p>
    <w:p>
      <w:pPr>
        <w:spacing w:after="0" w:line="6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8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HASBRO,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17145</wp:posOffset>
            </wp:positionV>
            <wp:extent cx="186880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3">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(Registrant)</w:t>
      </w:r>
    </w:p>
    <w:p>
      <w:pPr>
        <w:spacing w:after="0" w:line="293" w:lineRule="exact"/>
        <w:rPr>
          <w:sz w:val="20"/>
          <w:szCs w:val="20"/>
          <w:color w:val="auto"/>
        </w:rPr>
      </w:pPr>
    </w:p>
    <w:p>
      <w:pPr>
        <w:ind w:left="20"/>
        <w:spacing w:after="0"/>
        <w:tabs>
          <w:tab w:leader="none" w:pos="6720" w:val="left"/>
        </w:tabs>
        <w:rPr>
          <w:sz w:val="20"/>
          <w:szCs w:val="20"/>
          <w:color w:val="auto"/>
        </w:rPr>
      </w:pPr>
      <w:r>
        <w:rPr>
          <w:rFonts w:ascii="Times New Roman" w:cs="Times New Roman" w:eastAsia="Times New Roman" w:hAnsi="Times New Roman"/>
          <w:sz w:val="18"/>
          <w:szCs w:val="18"/>
          <w:color w:val="auto"/>
        </w:rPr>
        <w:t>Date: October 26, 2022</w:t>
      </w:r>
      <w:r>
        <w:rPr>
          <w:sz w:val="20"/>
          <w:szCs w:val="20"/>
          <w:color w:val="auto"/>
        </w:rPr>
        <w:tab/>
      </w:r>
      <w:r>
        <w:rPr>
          <w:rFonts w:ascii="Times New Roman" w:cs="Times New Roman" w:eastAsia="Times New Roman" w:hAnsi="Times New Roman"/>
          <w:sz w:val="17"/>
          <w:szCs w:val="17"/>
          <w:color w:val="auto"/>
        </w:rPr>
        <w:t>By: /s/ Deborah 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17145</wp:posOffset>
            </wp:positionV>
            <wp:extent cx="186880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4">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Deborah Thomas</w:t>
      </w:r>
    </w:p>
    <w:p>
      <w:pPr>
        <w:spacing w:after="0" w:line="1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Executive Vice President and</w:t>
      </w:r>
    </w:p>
    <w:p>
      <w:pPr>
        <w:ind w:left="6740"/>
        <w:spacing w:after="0" w:line="203" w:lineRule="auto"/>
        <w:rPr>
          <w:sz w:val="20"/>
          <w:szCs w:val="20"/>
          <w:color w:val="auto"/>
        </w:rPr>
      </w:pPr>
      <w:r>
        <w:rPr>
          <w:rFonts w:ascii="Times New Roman" w:cs="Times New Roman" w:eastAsia="Times New Roman" w:hAnsi="Times New Roman"/>
          <w:sz w:val="18"/>
          <w:szCs w:val="18"/>
          <w:color w:val="auto"/>
        </w:rPr>
        <w:t>Chief Financial Officer</w:t>
      </w:r>
    </w:p>
    <w:p>
      <w:pPr>
        <w:ind w:left="6740"/>
        <w:spacing w:after="0" w:line="219" w:lineRule="auto"/>
        <w:rPr>
          <w:sz w:val="20"/>
          <w:szCs w:val="20"/>
          <w:color w:val="auto"/>
        </w:rPr>
      </w:pPr>
      <w:r>
        <w:rPr>
          <w:rFonts w:ascii="Times New Roman" w:cs="Times New Roman" w:eastAsia="Times New Roman" w:hAnsi="Times New Roman"/>
          <w:sz w:val="18"/>
          <w:szCs w:val="18"/>
          <w:color w:val="auto"/>
        </w:rPr>
        <w:t>(Duly Authorized Officer and</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00"/>
          </w:cols>
          <w:pgMar w:left="320" w:top="945" w:right="37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Christian P. Cocks, certify that:</w:t>
      </w:r>
    </w:p>
    <w:p>
      <w:pPr>
        <w:spacing w:after="0" w:line="185" w:lineRule="exact"/>
        <w:rPr>
          <w:sz w:val="20"/>
          <w:szCs w:val="20"/>
          <w:color w:val="auto"/>
        </w:rPr>
      </w:pPr>
    </w:p>
    <w:p>
      <w:pPr>
        <w:ind w:left="420" w:hanging="412"/>
        <w:spacing w:after="0"/>
        <w:tabs>
          <w:tab w:leader="none" w:pos="4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Hasbro, Inc.;</w:t>
      </w:r>
    </w:p>
    <w:p>
      <w:pPr>
        <w:spacing w:after="0" w:line="198" w:lineRule="exact"/>
        <w:rPr>
          <w:rFonts w:ascii="Times New Roman" w:cs="Times New Roman" w:eastAsia="Times New Roman" w:hAnsi="Times New Roman"/>
          <w:sz w:val="18"/>
          <w:szCs w:val="18"/>
          <w:color w:val="auto"/>
        </w:rPr>
      </w:pPr>
    </w:p>
    <w:p>
      <w:pPr>
        <w:jc w:val="both"/>
        <w:ind w:left="420" w:right="360" w:hanging="412"/>
        <w:spacing w:after="0" w:line="266" w:lineRule="auto"/>
        <w:tabs>
          <w:tab w:leader="none" w:pos="4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420" w:right="320" w:hanging="412"/>
        <w:spacing w:after="0" w:line="282" w:lineRule="auto"/>
        <w:tabs>
          <w:tab w:leader="none" w:pos="4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420" w:right="360" w:hanging="412"/>
        <w:spacing w:after="0" w:line="266" w:lineRule="auto"/>
        <w:tabs>
          <w:tab w:leader="none" w:pos="4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8"/>
          <w:szCs w:val="18"/>
          <w:color w:val="auto"/>
        </w:rPr>
      </w:pPr>
    </w:p>
    <w:p>
      <w:pPr>
        <w:ind w:left="900" w:right="140" w:hanging="244"/>
        <w:spacing w:after="0" w:line="266" w:lineRule="auto"/>
        <w:tabs>
          <w:tab w:leader="none" w:pos="891"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900" w:right="440" w:hanging="244"/>
        <w:spacing w:after="0" w:line="266" w:lineRule="auto"/>
        <w:tabs>
          <w:tab w:leader="none" w:pos="88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jc w:val="both"/>
        <w:ind w:left="900" w:right="620" w:hanging="244"/>
        <w:spacing w:after="0" w:line="312" w:lineRule="auto"/>
        <w:tabs>
          <w:tab w:leader="none" w:pos="891"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2" w:lineRule="exact"/>
        <w:rPr>
          <w:rFonts w:ascii="Times New Roman" w:cs="Times New Roman" w:eastAsia="Times New Roman" w:hAnsi="Times New Roman"/>
          <w:sz w:val="17"/>
          <w:szCs w:val="17"/>
          <w:color w:val="auto"/>
        </w:rPr>
      </w:pPr>
    </w:p>
    <w:p>
      <w:pPr>
        <w:ind w:left="900" w:right="140" w:hanging="244"/>
        <w:spacing w:after="0" w:line="266" w:lineRule="auto"/>
        <w:tabs>
          <w:tab w:leader="none" w:pos="88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420" w:right="200" w:hanging="412"/>
        <w:spacing w:after="0" w:line="282" w:lineRule="auto"/>
        <w:tabs>
          <w:tab w:leader="none" w:pos="4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1"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980" w:right="500" w:hanging="324"/>
        <w:spacing w:after="0" w:line="282" w:lineRule="auto"/>
        <w:tabs>
          <w:tab w:leader="none" w:pos="96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Date:</w:t>
        <w:tab/>
        <w:t>October 26, 2022</w:t>
      </w:r>
    </w:p>
    <w:p>
      <w:pPr>
        <w:spacing w:after="0" w:line="14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u w:val="single" w:color="auto"/>
          <w:color w:val="auto"/>
        </w:rPr>
        <w:t>/s/ Christian P. Cocks</w:t>
      </w:r>
    </w:p>
    <w:p>
      <w:pPr>
        <w:spacing w:after="0" w:line="1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Christian P. Cocks</w:t>
      </w:r>
    </w:p>
    <w:p>
      <w:pPr>
        <w:jc w:val="center"/>
        <w:ind w:right="4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066"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Deborah Thomas, certify that:</w:t>
      </w:r>
    </w:p>
    <w:p>
      <w:pPr>
        <w:spacing w:after="0" w:line="185" w:lineRule="exact"/>
        <w:rPr>
          <w:sz w:val="20"/>
          <w:szCs w:val="20"/>
          <w:color w:val="auto"/>
        </w:rPr>
      </w:pPr>
    </w:p>
    <w:p>
      <w:pPr>
        <w:ind w:left="420" w:hanging="412"/>
        <w:spacing w:after="0"/>
        <w:tabs>
          <w:tab w:leader="none" w:pos="4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Hasbro, Inc.;</w:t>
      </w:r>
    </w:p>
    <w:p>
      <w:pPr>
        <w:spacing w:after="0" w:line="198" w:lineRule="exact"/>
        <w:rPr>
          <w:rFonts w:ascii="Times New Roman" w:cs="Times New Roman" w:eastAsia="Times New Roman" w:hAnsi="Times New Roman"/>
          <w:sz w:val="18"/>
          <w:szCs w:val="18"/>
          <w:color w:val="auto"/>
        </w:rPr>
      </w:pPr>
    </w:p>
    <w:p>
      <w:pPr>
        <w:jc w:val="both"/>
        <w:ind w:left="420" w:right="360" w:hanging="412"/>
        <w:spacing w:after="0" w:line="266" w:lineRule="auto"/>
        <w:tabs>
          <w:tab w:leader="none" w:pos="4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420" w:right="320" w:hanging="412"/>
        <w:spacing w:after="0" w:line="282" w:lineRule="auto"/>
        <w:tabs>
          <w:tab w:leader="none" w:pos="4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420" w:right="360" w:hanging="412"/>
        <w:spacing w:after="0" w:line="266" w:lineRule="auto"/>
        <w:tabs>
          <w:tab w:leader="none" w:pos="4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8"/>
          <w:szCs w:val="18"/>
          <w:color w:val="auto"/>
        </w:rPr>
      </w:pPr>
    </w:p>
    <w:p>
      <w:pPr>
        <w:ind w:left="820" w:right="220" w:hanging="326"/>
        <w:spacing w:after="0" w:line="266" w:lineRule="auto"/>
        <w:tabs>
          <w:tab w:leader="none" w:pos="811"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820" w:right="520" w:hanging="326"/>
        <w:spacing w:after="0" w:line="266" w:lineRule="auto"/>
        <w:tabs>
          <w:tab w:leader="none" w:pos="80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jc w:val="both"/>
        <w:ind w:left="820" w:right="700" w:hanging="326"/>
        <w:spacing w:after="0" w:line="312" w:lineRule="auto"/>
        <w:tabs>
          <w:tab w:leader="none" w:pos="811"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2" w:lineRule="exact"/>
        <w:rPr>
          <w:rFonts w:ascii="Times New Roman" w:cs="Times New Roman" w:eastAsia="Times New Roman" w:hAnsi="Times New Roman"/>
          <w:sz w:val="17"/>
          <w:szCs w:val="17"/>
          <w:color w:val="auto"/>
        </w:rPr>
      </w:pPr>
    </w:p>
    <w:p>
      <w:pPr>
        <w:ind w:left="820" w:right="220" w:hanging="326"/>
        <w:spacing w:after="0" w:line="266" w:lineRule="auto"/>
        <w:tabs>
          <w:tab w:leader="none" w:pos="80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420" w:right="200" w:hanging="412"/>
        <w:spacing w:after="0" w:line="282" w:lineRule="auto"/>
        <w:tabs>
          <w:tab w:leader="none" w:pos="4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820" w:right="120" w:hanging="326"/>
        <w:spacing w:after="0" w:line="282" w:lineRule="auto"/>
        <w:tabs>
          <w:tab w:leader="none" w:pos="811"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820" w:right="100" w:hanging="326"/>
        <w:spacing w:after="0" w:line="282" w:lineRule="auto"/>
        <w:tabs>
          <w:tab w:leader="none" w:pos="80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26, 2022</w:t>
      </w:r>
    </w:p>
    <w:p>
      <w:pPr>
        <w:spacing w:after="0" w:line="185"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u w:val="single" w:color="auto"/>
          <w:color w:val="auto"/>
        </w:rPr>
        <w:t>/s/ Deborah Thomas</w:t>
      </w:r>
    </w:p>
    <w:p>
      <w:pPr>
        <w:spacing w:after="0" w:line="52"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Deborah Thomas</w:t>
      </w:r>
    </w:p>
    <w:p>
      <w:pPr>
        <w:ind w:left="6120"/>
        <w:spacing w:after="0" w:line="203" w:lineRule="auto"/>
        <w:rPr>
          <w:sz w:val="20"/>
          <w:szCs w:val="20"/>
          <w:color w:val="auto"/>
        </w:rPr>
      </w:pPr>
      <w:r>
        <w:rPr>
          <w:rFonts w:ascii="Times New Roman" w:cs="Times New Roman" w:eastAsia="Times New Roman" w:hAnsi="Times New Roman"/>
          <w:sz w:val="18"/>
          <w:szCs w:val="18"/>
          <w:color w:val="auto"/>
        </w:rPr>
        <w:t>Executive Vice President and</w:t>
      </w:r>
    </w:p>
    <w:p>
      <w:pPr>
        <w:ind w:left="612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066"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CHAPTER 63 OF TITLE 18, UNITED STATES CODE,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6" w:lineRule="exact"/>
        <w:rPr>
          <w:sz w:val="20"/>
          <w:szCs w:val="20"/>
          <w:color w:val="auto"/>
        </w:rPr>
      </w:pPr>
    </w:p>
    <w:p>
      <w:pPr>
        <w:jc w:val="both"/>
        <w:ind w:right="800"/>
        <w:spacing w:after="0" w:line="266" w:lineRule="auto"/>
        <w:rPr>
          <w:sz w:val="20"/>
          <w:szCs w:val="20"/>
          <w:color w:val="auto"/>
        </w:rPr>
      </w:pPr>
      <w:r>
        <w:rPr>
          <w:rFonts w:ascii="Times New Roman" w:cs="Times New Roman" w:eastAsia="Times New Roman" w:hAnsi="Times New Roman"/>
          <w:sz w:val="18"/>
          <w:szCs w:val="18"/>
          <w:color w:val="auto"/>
        </w:rPr>
        <w:t>Pursuant to Section 1350, Chapter 63 of Title 18, United States Code, as adopted pursuant to Section 906 of the Sarbanes-Oxley Act of 2002, the undersigned, as Chief Executive Officer of Hasbro, Inc., a Rhode Island corporation (the “Company”), does hereby certify that to the best of the undersigned’s knowledge:</w:t>
      </w:r>
    </w:p>
    <w:p>
      <w:pPr>
        <w:spacing w:after="0" w:line="149" w:lineRule="exact"/>
        <w:rPr>
          <w:sz w:val="20"/>
          <w:szCs w:val="20"/>
          <w:color w:val="auto"/>
        </w:rPr>
      </w:pPr>
    </w:p>
    <w:p>
      <w:pPr>
        <w:ind w:left="420" w:right="40" w:hanging="412"/>
        <w:spacing w:after="0" w:line="282" w:lineRule="auto"/>
        <w:tabs>
          <w:tab w:leader="none" w:pos="40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quarter ended September 25, 2022, as filed with the Securities and Exchange Commission (the “10-Q Report”), fully complies with the requirements of Section 13(a) or 15(d) of the Securities Exchange Act of 1934; and</w:t>
      </w:r>
    </w:p>
    <w:p>
      <w:pPr>
        <w:spacing w:after="0" w:line="121" w:lineRule="exact"/>
        <w:rPr>
          <w:rFonts w:ascii="Times New Roman" w:cs="Times New Roman" w:eastAsia="Times New Roman" w:hAnsi="Times New Roman"/>
          <w:sz w:val="18"/>
          <w:szCs w:val="18"/>
          <w:color w:val="auto"/>
        </w:rPr>
      </w:pPr>
    </w:p>
    <w:p>
      <w:pPr>
        <w:ind w:left="420" w:right="240" w:hanging="412"/>
        <w:spacing w:after="0" w:line="282" w:lineRule="auto"/>
        <w:tabs>
          <w:tab w:leader="none" w:pos="40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Company's 10-Q Report fairly presents, in all material respects, the financial condition and results of operations of the Company.</w:t>
      </w:r>
    </w:p>
    <w:p>
      <w:pPr>
        <w:spacing w:after="0" w:line="69"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u w:val="single" w:color="auto"/>
          <w:color w:val="auto"/>
        </w:rPr>
        <w:t>/s/ Christian P. Cocks</w:t>
      </w:r>
    </w:p>
    <w:p>
      <w:pPr>
        <w:ind w:left="2360"/>
        <w:spacing w:after="0" w:line="203" w:lineRule="auto"/>
        <w:rPr>
          <w:sz w:val="20"/>
          <w:szCs w:val="20"/>
          <w:color w:val="auto"/>
        </w:rPr>
      </w:pPr>
      <w:r>
        <w:rPr>
          <w:rFonts w:ascii="Times New Roman" w:cs="Times New Roman" w:eastAsia="Times New Roman" w:hAnsi="Times New Roman"/>
          <w:sz w:val="18"/>
          <w:szCs w:val="18"/>
          <w:color w:val="auto"/>
        </w:rPr>
        <w:t>Christian P. Cocks</w:t>
      </w:r>
    </w:p>
    <w:p>
      <w:pPr>
        <w:ind w:left="2360"/>
        <w:spacing w:after="0"/>
        <w:rPr>
          <w:sz w:val="20"/>
          <w:szCs w:val="20"/>
          <w:color w:val="auto"/>
        </w:rPr>
      </w:pPr>
      <w:r>
        <w:rPr>
          <w:rFonts w:ascii="Times New Roman" w:cs="Times New Roman" w:eastAsia="Times New Roman" w:hAnsi="Times New Roman"/>
          <w:sz w:val="18"/>
          <w:szCs w:val="18"/>
          <w:color w:val="auto"/>
        </w:rPr>
        <w:t>Chief Executive Officer of Hasbro, Inc.</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26, 2022</w:t>
      </w:r>
    </w:p>
    <w:p>
      <w:pPr>
        <w:spacing w:after="0" w:line="19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Hasbro, Inc. and will be retained by Hasbro, Inc. and furnished to the Securities and Exchange Commission or its staff upon request.</w:t>
      </w:r>
    </w:p>
    <w:p>
      <w:pPr>
        <w:sectPr>
          <w:pgSz w:w="11900" w:h="16838" w:orient="portrait"/>
          <w:cols w:equalWidth="0" w:num="1">
            <w:col w:w="11240"/>
          </w:cols>
          <w:pgMar w:left="320" w:top="887"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CHAPTER 63 OF TITLE 18, UNITED STATES CODE,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6" w:lineRule="exact"/>
        <w:rPr>
          <w:sz w:val="20"/>
          <w:szCs w:val="20"/>
          <w:color w:val="auto"/>
        </w:rPr>
      </w:pPr>
    </w:p>
    <w:p>
      <w:pPr>
        <w:ind w:right="800"/>
        <w:spacing w:after="0" w:line="266" w:lineRule="auto"/>
        <w:rPr>
          <w:sz w:val="20"/>
          <w:szCs w:val="20"/>
          <w:color w:val="auto"/>
        </w:rPr>
      </w:pPr>
      <w:r>
        <w:rPr>
          <w:rFonts w:ascii="Times New Roman" w:cs="Times New Roman" w:eastAsia="Times New Roman" w:hAnsi="Times New Roman"/>
          <w:sz w:val="18"/>
          <w:szCs w:val="18"/>
          <w:color w:val="auto"/>
        </w:rPr>
        <w:t>Pursuant to Section 1350, Chapter 63 of Title 18, United States Code, as adopted pursuant to Section 906 of the Sarbanes-Oxley Act of 2002, the undersigned, as Chief Financial Officer of Hasbro, Inc., a Rhode Island corporation (the “Company”), does hereby certify that to the best of the undersigned’s knowledge:</w:t>
      </w:r>
    </w:p>
    <w:p>
      <w:pPr>
        <w:spacing w:after="0" w:line="149" w:lineRule="exact"/>
        <w:rPr>
          <w:sz w:val="20"/>
          <w:szCs w:val="20"/>
          <w:color w:val="auto"/>
        </w:rPr>
      </w:pPr>
    </w:p>
    <w:p>
      <w:pPr>
        <w:ind w:left="420" w:right="40" w:hanging="412"/>
        <w:spacing w:after="0" w:line="282" w:lineRule="auto"/>
        <w:tabs>
          <w:tab w:leader="none" w:pos="40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quarter ended September 25, 2022, as filed with the Securities and Exchange Commission (the “10-Q Report”), fully complies with the requirements of Section 13(a) or 15(d) of the Securities Exchange Act of 1934; and</w:t>
      </w:r>
    </w:p>
    <w:p>
      <w:pPr>
        <w:spacing w:after="0" w:line="121" w:lineRule="exact"/>
        <w:rPr>
          <w:rFonts w:ascii="Times New Roman" w:cs="Times New Roman" w:eastAsia="Times New Roman" w:hAnsi="Times New Roman"/>
          <w:sz w:val="18"/>
          <w:szCs w:val="18"/>
          <w:color w:val="auto"/>
        </w:rPr>
      </w:pPr>
    </w:p>
    <w:p>
      <w:pPr>
        <w:ind w:left="420" w:right="240" w:hanging="412"/>
        <w:spacing w:after="0" w:line="282" w:lineRule="auto"/>
        <w:tabs>
          <w:tab w:leader="none" w:pos="40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Company's 10-Q Report fairly presents, in all material respects, the financial condition and results of operations of the Company.</w:t>
      </w:r>
    </w:p>
    <w:p>
      <w:pPr>
        <w:spacing w:after="0" w:line="69"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u w:val="single" w:color="auto"/>
          <w:color w:val="auto"/>
        </w:rPr>
        <w:t>/s/ Deborah Thomas</w:t>
      </w:r>
    </w:p>
    <w:p>
      <w:pPr>
        <w:ind w:left="3100"/>
        <w:spacing w:after="0" w:line="203" w:lineRule="auto"/>
        <w:rPr>
          <w:sz w:val="20"/>
          <w:szCs w:val="20"/>
          <w:color w:val="auto"/>
        </w:rPr>
      </w:pPr>
      <w:r>
        <w:rPr>
          <w:rFonts w:ascii="Times New Roman" w:cs="Times New Roman" w:eastAsia="Times New Roman" w:hAnsi="Times New Roman"/>
          <w:sz w:val="18"/>
          <w:szCs w:val="18"/>
          <w:color w:val="auto"/>
        </w:rPr>
        <w:t>Deborah Thomas</w:t>
      </w:r>
    </w:p>
    <w:p>
      <w:pPr>
        <w:jc w:val="center"/>
        <w:ind w:right="40"/>
        <w:spacing w:after="0"/>
        <w:rPr>
          <w:sz w:val="20"/>
          <w:szCs w:val="20"/>
          <w:color w:val="auto"/>
        </w:rPr>
      </w:pPr>
      <w:r>
        <w:rPr>
          <w:rFonts w:ascii="Times New Roman" w:cs="Times New Roman" w:eastAsia="Times New Roman" w:hAnsi="Times New Roman"/>
          <w:sz w:val="18"/>
          <w:szCs w:val="18"/>
          <w:color w:val="auto"/>
        </w:rPr>
        <w:t>Executive Vice President and Chief Financial Officer of Hasbro, Inc.</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26, 2022</w:t>
      </w:r>
    </w:p>
    <w:p>
      <w:pPr>
        <w:spacing w:after="0" w:line="19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Hasbro, Inc. and will be retained by Hasbro, Inc. and furnished to the Securities and Exchange Commission or its staff upon request.</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1)"/>
      <w:numFmt w:val="decimal"/>
      <w:start w:val="1"/>
    </w:lvl>
  </w:abstractNum>
  <w:abstractNum w:abstractNumId="5">
    <w:nsid w:val="333AB105"/>
    <w:multiLevelType w:val="hybridMultilevel"/>
    <w:lvl w:ilvl="0">
      <w:lvlJc w:val="left"/>
      <w:lvlText w:val="(%1)"/>
      <w:numFmt w:val="decimal"/>
      <w:start w:val="2"/>
    </w:lvl>
  </w:abstractNum>
  <w:abstractNum w:abstractNumId="6">
    <w:nsid w:val="721DA317"/>
    <w:multiLevelType w:val="hybridMultilevel"/>
    <w:lvl w:ilvl="0">
      <w:lvlJc w:val="left"/>
      <w:lvlText w:val="(%1)"/>
      <w:numFmt w:val="decimal"/>
      <w:start w:val="3"/>
    </w:lvl>
  </w:abstractNum>
  <w:abstractNum w:abstractNumId="7">
    <w:nsid w:val="2443A858"/>
    <w:multiLevelType w:val="hybridMultilevel"/>
    <w:lvl w:ilvl="0">
      <w:lvlJc w:val="left"/>
      <w:lvlText w:val="(%1)"/>
      <w:numFmt w:val="decimal"/>
      <w:start w:val="4"/>
    </w:lvl>
  </w:abstractNum>
  <w:abstractNum w:abstractNumId="8">
    <w:nsid w:val="2D1D5AE9"/>
    <w:multiLevelType w:val="hybridMultilevel"/>
    <w:lvl w:ilvl="0">
      <w:lvlJc w:val="left"/>
      <w:lvlText w:val="(%1)"/>
      <w:numFmt w:val="decimal"/>
      <w:start w:val="5"/>
    </w:lvl>
  </w:abstractNum>
  <w:abstractNum w:abstractNumId="9">
    <w:nsid w:val="6763845E"/>
    <w:multiLevelType w:val="hybridMultilevel"/>
    <w:lvl w:ilvl="0">
      <w:lvlJc w:val="left"/>
      <w:lvlText w:val="(%1)"/>
      <w:numFmt w:val="decimal"/>
      <w:start w:val="6"/>
    </w:lvl>
  </w:abstractNum>
  <w:abstractNum w:abstractNumId="10">
    <w:nsid w:val="75A2A8D4"/>
    <w:multiLevelType w:val="hybridMultilevel"/>
    <w:lvl w:ilvl="0">
      <w:lvlJc w:val="left"/>
      <w:lvlText w:val="(%1)"/>
      <w:numFmt w:val="decimal"/>
      <w:start w:val="7"/>
    </w:lvl>
  </w:abstractNum>
  <w:abstractNum w:abstractNumId="11">
    <w:nsid w:val="8EDBDAB"/>
    <w:multiLevelType w:val="hybridMultilevel"/>
    <w:lvl w:ilvl="0">
      <w:lvlJc w:val="left"/>
      <w:lvlText w:val="(%1)"/>
      <w:numFmt w:val="decimal"/>
      <w:start w:val="1"/>
    </w:lvl>
  </w:abstractNum>
  <w:abstractNum w:abstractNumId="12">
    <w:nsid w:val="79838CB2"/>
    <w:multiLevelType w:val="hybridMultilevel"/>
    <w:lvl w:ilvl="0">
      <w:lvlJc w:val="left"/>
      <w:lvlText w:val="&amp;"/>
      <w:numFmt w:val="bullet"/>
      <w:start w:val="1"/>
    </w:lvl>
  </w:abstractNum>
  <w:abstractNum w:abstractNumId="13">
    <w:nsid w:val="4353D0CD"/>
    <w:multiLevelType w:val="hybridMultilevel"/>
    <w:lvl w:ilvl="0">
      <w:lvlJc w:val="left"/>
      <w:lvlText w:val="(%1)"/>
      <w:numFmt w:val="decimal"/>
      <w:start w:val="1"/>
    </w:lvl>
  </w:abstractNum>
  <w:abstractNum w:abstractNumId="14">
    <w:nsid w:val="B03E0C6"/>
    <w:multiLevelType w:val="hybridMultilevel"/>
    <w:lvl w:ilvl="0">
      <w:lvlJc w:val="left"/>
      <w:lvlText w:val="(%1)"/>
      <w:numFmt w:val="decimal"/>
      <w:start w:val="9"/>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1)"/>
      <w:numFmt w:val="decimal"/>
      <w:start w:val="10"/>
    </w:lvl>
  </w:abstractNum>
  <w:abstractNum w:abstractNumId="17">
    <w:nsid w:val="71F32454"/>
    <w:multiLevelType w:val="hybridMultilevel"/>
    <w:lvl w:ilvl="0">
      <w:lvlJc w:val="left"/>
      <w:lvlText w:val="(%1)"/>
      <w:numFmt w:val="decimal"/>
      <w:start w:val="11"/>
    </w:lvl>
  </w:abstractNum>
  <w:abstractNum w:abstractNumId="18">
    <w:nsid w:val="2CA88611"/>
    <w:multiLevelType w:val="hybridMultilevel"/>
    <w:lvl w:ilvl="0">
      <w:lvlJc w:val="left"/>
      <w:lvlText w:val="(%1)"/>
      <w:numFmt w:val="decimal"/>
      <w:start w:val="12"/>
    </w:lvl>
  </w:abstractNum>
  <w:abstractNum w:abstractNumId="19">
    <w:nsid w:val="836C40E"/>
    <w:multiLevelType w:val="hybridMultilevel"/>
    <w:lvl w:ilvl="0">
      <w:lvlJc w:val="left"/>
      <w:lvlText w:val="(%1)"/>
      <w:numFmt w:val="decimal"/>
      <w:start w:val="1"/>
    </w:lvl>
  </w:abstractNum>
  <w:abstractNum w:abstractNumId="20">
    <w:nsid w:val="2901D82"/>
    <w:multiLevelType w:val="hybridMultilevel"/>
    <w:lvl w:ilvl="0">
      <w:lvlJc w:val="left"/>
      <w:lvlText w:val="(%1)"/>
      <w:numFmt w:val="decimal"/>
      <w:start w:val="13"/>
    </w:lvl>
  </w:abstractNum>
  <w:abstractNum w:abstractNumId="21">
    <w:nsid w:val="3A95F874"/>
    <w:multiLevelType w:val="hybridMultilevel"/>
    <w:lvl w:ilvl="0">
      <w:lvlJc w:val="left"/>
      <w:lvlText w:val="(%1)"/>
      <w:numFmt w:val="lowerLetter"/>
      <w:start w:val="1"/>
    </w:lvl>
  </w:abstractNum>
  <w:abstractNum w:abstractNumId="22">
    <w:nsid w:val="8138641"/>
    <w:multiLevelType w:val="hybridMultilevel"/>
    <w:lvl w:ilvl="0">
      <w:lvlJc w:val="left"/>
      <w:lvlText w:val="(%1)"/>
      <w:numFmt w:val="decimal"/>
      <w:start w:val="1"/>
    </w:lvl>
  </w:abstractNum>
  <w:abstractNum w:abstractNumId="23">
    <w:nsid w:val="1E7FF521"/>
    <w:multiLevelType w:val="hybridMultilevel"/>
    <w:lvl w:ilvl="0">
      <w:lvlJc w:val="left"/>
      <w:lvlText w:val="(%1)"/>
      <w:numFmt w:val="decimal"/>
      <w:start w:val="14"/>
    </w:lvl>
  </w:abstractNum>
  <w:abstractNum w:abstractNumId="24">
    <w:nsid w:val="7C3DBD3D"/>
    <w:multiLevelType w:val="hybridMultilevel"/>
    <w:lvl w:ilvl="0">
      <w:lvlJc w:val="left"/>
      <w:lvlText w:val="•"/>
      <w:numFmt w:val="bullet"/>
      <w:start w:val="1"/>
    </w:lvl>
    <w:lvl w:ilvl="1">
      <w:lvlJc w:val="left"/>
      <w:lvlText w:val="•"/>
      <w:numFmt w:val="bullet"/>
      <w:start w:val="1"/>
    </w:lvl>
  </w:abstractNum>
  <w:abstractNum w:abstractNumId="25">
    <w:nsid w:val="737B8DDC"/>
    <w:multiLevelType w:val="hybridMultilevel"/>
    <w:lvl w:ilvl="0">
      <w:lvlJc w:val="left"/>
      <w:lvlText w:val="•"/>
      <w:numFmt w:val="bullet"/>
      <w:start w:val="1"/>
    </w:lvl>
    <w:lvl w:ilvl="1">
      <w:lvlJc w:val="left"/>
      <w:lvlText w:val="•"/>
      <w:numFmt w:val="bullet"/>
      <w:start w:val="1"/>
    </w:lvl>
  </w:abstractNum>
  <w:abstractNum w:abstractNumId="26">
    <w:nsid w:val="6CEAF087"/>
    <w:multiLevelType w:val="hybridMultilevel"/>
    <w:lvl w:ilvl="0">
      <w:lvlJc w:val="left"/>
      <w:lvlText w:val="•"/>
      <w:numFmt w:val="bullet"/>
      <w:start w:val="1"/>
    </w:lvl>
    <w:lvl w:ilvl="1">
      <w:lvlJc w:val="left"/>
      <w:lvlText w:val="•"/>
      <w:numFmt w:val="bullet"/>
      <w:start w:val="1"/>
    </w:lvl>
  </w:abstractNum>
  <w:abstractNum w:abstractNumId="27">
    <w:nsid w:val="22221A70"/>
    <w:multiLevelType w:val="hybridMultilevel"/>
    <w:lvl w:ilvl="0">
      <w:lvlJc w:val="left"/>
      <w:lvlText w:val="•"/>
      <w:numFmt w:val="bullet"/>
      <w:start w:val="1"/>
    </w:lvl>
    <w:lvl w:ilvl="1">
      <w:lvlJc w:val="left"/>
      <w:lvlText w:val="◦"/>
      <w:numFmt w:val="bullet"/>
      <w:start w:val="1"/>
    </w:lvl>
  </w:abstractNum>
  <w:abstractNum w:abstractNumId="28">
    <w:nsid w:val="4516DDE9"/>
    <w:multiLevelType w:val="hybridMultilevel"/>
    <w:lvl w:ilvl="0">
      <w:lvlJc w:val="left"/>
      <w:lvlText w:val="•"/>
      <w:numFmt w:val="bullet"/>
      <w:start w:val="1"/>
    </w:lvl>
    <w:lvl w:ilvl="1">
      <w:lvlJc w:val="left"/>
      <w:lvlText w:val="◦"/>
      <w:numFmt w:val="bullet"/>
      <w:start w:val="1"/>
    </w:lvl>
  </w:abstractNum>
  <w:abstractNum w:abstractNumId="29">
    <w:nsid w:val="3006C83E"/>
    <w:multiLevelType w:val="hybridMultilevel"/>
    <w:lvl w:ilvl="0">
      <w:lvlJc w:val="left"/>
      <w:lvlText w:val="•"/>
      <w:numFmt w:val="bullet"/>
      <w:start w:val="1"/>
    </w:lvl>
  </w:abstractNum>
  <w:abstractNum w:abstractNumId="30">
    <w:nsid w:val="614FD4A1"/>
    <w:multiLevelType w:val="hybridMultilevel"/>
    <w:lvl w:ilvl="0">
      <w:lvlJc w:val="left"/>
      <w:lvlText w:val="*"/>
      <w:numFmt w:val="bullet"/>
      <w:start w:val="1"/>
    </w:lvl>
  </w:abstractNum>
  <w:abstractNum w:abstractNumId="31">
    <w:nsid w:val="419AC241"/>
    <w:multiLevelType w:val="hybridMultilevel"/>
    <w:lvl w:ilvl="0">
      <w:lvlJc w:val="left"/>
      <w:lvlText w:val="(%1)"/>
      <w:numFmt w:val="lowerRoman"/>
      <w:start w:val="4"/>
    </w:lvl>
  </w:abstractNum>
  <w:abstractNum w:abstractNumId="32">
    <w:nsid w:val="5577F8E1"/>
    <w:multiLevelType w:val="hybridMultilevel"/>
    <w:lvl w:ilvl="0">
      <w:lvlJc w:val="left"/>
      <w:lvlText w:val="•"/>
      <w:numFmt w:val="bullet"/>
      <w:start w:val="1"/>
    </w:lvl>
  </w:abstractNum>
  <w:abstractNum w:abstractNumId="33">
    <w:nsid w:val="440BADFC"/>
    <w:multiLevelType w:val="hybridMultilevel"/>
    <w:lvl w:ilvl="0">
      <w:lvlJc w:val="left"/>
      <w:lvlText w:val="%1."/>
      <w:numFmt w:val="decimal"/>
      <w:start w:val="1"/>
    </w:lvl>
    <w:lvl w:ilvl="1">
      <w:lvlJc w:val="left"/>
      <w:lvlText w:val="%2)"/>
      <w:numFmt w:val="lowerLetter"/>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91" Type="http://schemas.openxmlformats.org/officeDocument/2006/relationships/image" Target="media/image70.png"/><Relationship Id="rId92" Type="http://schemas.openxmlformats.org/officeDocument/2006/relationships/image" Target="media/image71.png"/><Relationship Id="rId93" Type="http://schemas.openxmlformats.org/officeDocument/2006/relationships/image" Target="media/image72.png"/><Relationship Id="rId94" Type="http://schemas.openxmlformats.org/officeDocument/2006/relationships/image" Target="media/image73.png"/><Relationship Id="rId77" Type="http://schemas.openxmlformats.org/officeDocument/2006/relationships/hyperlink" Target="http://www.sec.gov/Archives/edgar/data/46080/000004608000000013/0000046080-00-000013-0002.txt" TargetMode="External"/><Relationship Id="rId78" Type="http://schemas.openxmlformats.org/officeDocument/2006/relationships/hyperlink" Target="http://www.sec.gov/Archives/edgar/data/46080/000004608000000013/0000046080-00-000013-0005.txt" TargetMode="External"/><Relationship Id="rId79" Type="http://schemas.openxmlformats.org/officeDocument/2006/relationships/hyperlink" Target="http://www.sec.gov/Archives/edgar/data/46080/000004608003000022/ex3-3q203.htm" TargetMode="External"/><Relationship Id="rId80" Type="http://schemas.openxmlformats.org/officeDocument/2006/relationships/hyperlink" Target="http://www.sec.gov/Archives/edgar/data/46080/000004608022000109/0000046080-22-000109-index.htm" TargetMode="External"/><Relationship Id="rId81" Type="http://schemas.openxmlformats.org/officeDocument/2006/relationships/hyperlink" Target="http://www.sec.gov/Archives/edgar/data/46080/000004608000000013/0000046080-00-000013-0003.txt" TargetMode="External"/><Relationship Id="rId82" Type="http://schemas.openxmlformats.org/officeDocument/2006/relationships/hyperlink" Target="http://www.sec.gov/Archives/edgar/data/46080/000004608000000013/0000046080-00-000013-0004.txt" TargetMode="External"/><Relationship Id="rId83" Type="http://schemas.openxmlformats.org/officeDocument/2006/relationships/hyperlink" Target="http://www.sec.gov/Archives/edgar/data/46080/0000950172-98-000702.txt" TargetMode="External"/><Relationship Id="rId84" Type="http://schemas.openxmlformats.org/officeDocument/2006/relationships/hyperlink" Target="http://www.sec.gov/Archives/edgar/data/46080/000004608000000003/0000046080-00-000003.txt" TargetMode="External"/><Relationship Id="rId85" Type="http://schemas.openxmlformats.org/officeDocument/2006/relationships/hyperlink" Target="http://www.sec.gov/Archives/edgar/data/46080/000095013507005709/b66906hbexv4w1.htm" TargetMode="External"/><Relationship Id="rId86" Type="http://schemas.openxmlformats.org/officeDocument/2006/relationships/hyperlink" Target="http://www.sec.gov/Archives/edgar/data/46080/000095013509003948/b75462hiexv4w1.htm" TargetMode="External"/><Relationship Id="rId87" Type="http://schemas.openxmlformats.org/officeDocument/2006/relationships/hyperlink" Target="http://www.sec.gov/Archives/edgar/data/46080/000095012310023420/b80058exv4w1.htm" TargetMode="External"/><Relationship Id="rId88" Type="http://schemas.openxmlformats.org/officeDocument/2006/relationships/hyperlink" Target="http://www.sec.gov/Archives/edgar/data/46080/000119312514196726/d727293dex41.htm" TargetMode="External"/><Relationship Id="rId89" Type="http://schemas.openxmlformats.org/officeDocument/2006/relationships/hyperlink" Target="http://www.sec.gov/Archives/edgar/data/46080/000119312517283854/d456734dex41.htm" TargetMode="External"/><Relationship Id="rId90" Type="http://schemas.openxmlformats.org/officeDocument/2006/relationships/hyperlink" Target="http://www.sec.gov/Archives/edgar/data/46080/000119312519295544/d822953dex1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2022-10-26T14:49:44Z</dcterms:created>
  <dcterms:modified xsi:type="dcterms:W3CDTF">2022-10-26T14:49:44Z</dcterms:modified>
</cp:coreProperties>
</file>