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5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9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9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17"/>
          <w:szCs w:val="17"/>
          <w:color w:val="auto"/>
        </w:rPr>
        <w:t>April 1, 2026</w:t>
      </w:r>
    </w:p>
    <w:p>
      <w:pPr>
        <w:spacing w:after="0" w:line="37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Hasbro, Inc.</w:t>
      </w:r>
    </w:p>
    <w:p>
      <w:pPr>
        <w:spacing w:after="0" w:line="4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28" w:lineRule="exact"/>
        <w:rPr>
          <w:sz w:val="24"/>
          <w:szCs w:val="24"/>
          <w:color w:val="auto"/>
        </w:rPr>
      </w:pPr>
    </w:p>
    <w:tbl>
      <w:tblPr>
        <w:tblLayout w:type="fixed"/>
        <w:tblInd w:w="380" w:type="dxa"/>
        <w:tblCellMar>
          <w:top w:w="0" w:type="dxa"/>
          <w:left w:w="0" w:type="dxa"/>
          <w:bottom w:w="0" w:type="dxa"/>
          <w:right w:w="0" w:type="dxa"/>
        </w:tblCellMar>
      </w:tblPr>
      <w:tr>
        <w:trPr>
          <w:trHeight w:val="261"/>
        </w:trPr>
        <w:tc>
          <w:tcPr>
            <w:tcW w:w="374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Rhode Island</w:t>
            </w:r>
          </w:p>
        </w:tc>
        <w:tc>
          <w:tcPr>
            <w:tcW w:w="3020" w:type="dxa"/>
            <w:vAlign w:val="bottom"/>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rPr>
              <w:t>1-6682</w:t>
            </w:r>
          </w:p>
        </w:tc>
        <w:tc>
          <w:tcPr>
            <w:tcW w:w="316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05-0155090</w:t>
            </w:r>
          </w:p>
        </w:tc>
        <w:tc>
          <w:tcPr>
            <w:tcW w:w="0" w:type="dxa"/>
            <w:vAlign w:val="bottom"/>
          </w:tcPr>
          <w:p>
            <w:pPr>
              <w:spacing w:after="0"/>
              <w:rPr>
                <w:sz w:val="1"/>
                <w:szCs w:val="1"/>
                <w:color w:val="auto"/>
              </w:rPr>
            </w:pPr>
          </w:p>
        </w:tc>
      </w:tr>
      <w:tr>
        <w:trPr>
          <w:trHeight w:val="180"/>
        </w:trPr>
        <w:tc>
          <w:tcPr>
            <w:tcW w:w="3740" w:type="dxa"/>
            <w:vAlign w:val="bottom"/>
          </w:tcPr>
          <w:p>
            <w:pPr>
              <w:jc w:val="center"/>
              <w:ind w:right="35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3160" w:type="dxa"/>
            <w:vAlign w:val="bottom"/>
          </w:tcPr>
          <w:p>
            <w:pPr>
              <w:jc w:val="center"/>
              <w:ind w:left="470"/>
              <w:spacing w:after="0" w:line="181" w:lineRule="exact"/>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234"/>
        </w:trPr>
        <w:tc>
          <w:tcPr>
            <w:tcW w:w="374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organization)</w:t>
            </w:r>
          </w:p>
        </w:tc>
        <w:tc>
          <w:tcPr>
            <w:tcW w:w="3020" w:type="dxa"/>
            <w:vAlign w:val="bottom"/>
            <w:vMerge w:val="continue"/>
          </w:tcPr>
          <w:p>
            <w:pPr>
              <w:spacing w:after="0"/>
              <w:rPr>
                <w:sz w:val="20"/>
                <w:szCs w:val="20"/>
                <w:color w:val="auto"/>
              </w:rPr>
            </w:pPr>
          </w:p>
        </w:tc>
        <w:tc>
          <w:tcPr>
            <w:tcW w:w="3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374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1027 Newport Avenue</w:t>
            </w:r>
          </w:p>
        </w:tc>
        <w:tc>
          <w:tcPr>
            <w:tcW w:w="30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Pawtucket, Rhode Island</w:t>
            </w:r>
          </w:p>
        </w:tc>
        <w:tc>
          <w:tcPr>
            <w:tcW w:w="316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02861</w:t>
            </w:r>
          </w:p>
        </w:tc>
        <w:tc>
          <w:tcPr>
            <w:tcW w:w="0" w:type="dxa"/>
            <w:vAlign w:val="bottom"/>
          </w:tcPr>
          <w:p>
            <w:pPr>
              <w:spacing w:after="0"/>
              <w:rPr>
                <w:sz w:val="1"/>
                <w:szCs w:val="1"/>
                <w:color w:val="auto"/>
              </w:rPr>
            </w:pPr>
          </w:p>
        </w:tc>
      </w:tr>
      <w:tr>
        <w:trPr>
          <w:trHeight w:val="256"/>
        </w:trPr>
        <w:tc>
          <w:tcPr>
            <w:tcW w:w="37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20" w:type="dxa"/>
            <w:vAlign w:val="bottom"/>
          </w:tcPr>
          <w:p>
            <w:pPr>
              <w:spacing w:after="0"/>
              <w:rPr>
                <w:sz w:val="22"/>
                <w:szCs w:val="22"/>
                <w:color w:val="auto"/>
              </w:rPr>
            </w:pPr>
          </w:p>
        </w:tc>
        <w:tc>
          <w:tcPr>
            <w:tcW w:w="31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311" w:lineRule="exact"/>
        <w:rPr>
          <w:sz w:val="24"/>
          <w:szCs w:val="24"/>
          <w:color w:val="auto"/>
        </w:rPr>
      </w:pPr>
    </w:p>
    <w:p>
      <w:pPr>
        <w:jc w:val="center"/>
        <w:ind w:right="-159"/>
        <w:spacing w:after="0"/>
        <w:tabs>
          <w:tab w:leader="none" w:pos="120" w:val="left"/>
        </w:tabs>
        <w:rPr>
          <w:sz w:val="20"/>
          <w:szCs w:val="20"/>
          <w:color w:val="auto"/>
        </w:rPr>
      </w:pPr>
      <w:r>
        <w:rPr>
          <w:rFonts w:ascii="Times New Roman" w:cs="Times New Roman" w:eastAsia="Times New Roman" w:hAnsi="Times New Roman"/>
          <w:sz w:val="20"/>
          <w:szCs w:val="20"/>
          <w:color w:val="auto"/>
        </w:rPr>
        <w:t>Registrant’s telephone number, including area code:</w:t>
      </w:r>
      <w:r>
        <w:rPr>
          <w:sz w:val="20"/>
          <w:szCs w:val="20"/>
          <w:color w:val="auto"/>
        </w:rPr>
        <w:tab/>
      </w:r>
      <w:r>
        <w:rPr>
          <w:rFonts w:ascii="Times New Roman" w:cs="Times New Roman" w:eastAsia="Times New Roman" w:hAnsi="Times New Roman"/>
          <w:sz w:val="19"/>
          <w:szCs w:val="19"/>
          <w:b w:val="1"/>
          <w:bCs w:val="1"/>
          <w:color w:val="auto"/>
        </w:rPr>
        <w:t>(401) 431-8697</w:t>
      </w:r>
    </w:p>
    <w:p>
      <w:pPr>
        <w:spacing w:after="0" w:line="247" w:lineRule="exact"/>
        <w:rPr>
          <w:sz w:val="24"/>
          <w:szCs w:val="24"/>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Check the appropriate box below if the Form 8-K filing is intended to simultaneously satisfy the filing obligation of the registrant under any of the following provisions:</w:t>
      </w:r>
    </w:p>
    <w:p>
      <w:pPr>
        <w:spacing w:after="0" w:line="173" w:lineRule="exact"/>
        <w:rPr>
          <w:sz w:val="24"/>
          <w:szCs w:val="24"/>
          <w:color w:val="auto"/>
        </w:rPr>
      </w:pPr>
    </w:p>
    <w:p>
      <w:pPr>
        <w:ind w:left="320" w:hanging="312"/>
        <w:spacing w:after="0"/>
        <w:tabs>
          <w:tab w:leader="none" w:pos="3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Written communications pursuant to Rule 425 under the Securities Act (17 CFR 230.425)</w:t>
      </w:r>
    </w:p>
    <w:p>
      <w:pPr>
        <w:spacing w:after="0" w:line="242"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Soliciting material pursuant to Rule 14a-12 under the Exchange Act (17 CFR 240.14a-12)</w:t>
      </w:r>
    </w:p>
    <w:p>
      <w:pPr>
        <w:spacing w:after="0" w:line="256" w:lineRule="exact"/>
        <w:rPr>
          <w:rFonts w:ascii="MS PGothic" w:cs="MS PGothic" w:eastAsia="MS PGothic" w:hAnsi="MS PGothic"/>
          <w:sz w:val="20"/>
          <w:szCs w:val="20"/>
          <w:color w:val="auto"/>
        </w:rPr>
      </w:pPr>
    </w:p>
    <w:p>
      <w:pPr>
        <w:ind w:left="340" w:hanging="332"/>
        <w:spacing w:after="0"/>
        <w:tabs>
          <w:tab w:leader="none" w:pos="3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14d-2(b) under the Exchange Act (17 CFR 240.14d-2(b))</w:t>
      </w:r>
    </w:p>
    <w:p>
      <w:pPr>
        <w:spacing w:after="0" w:line="242" w:lineRule="exact"/>
        <w:rPr>
          <w:rFonts w:ascii="MS PGothic" w:cs="MS PGothic" w:eastAsia="MS PGothic" w:hAnsi="MS PGothic"/>
          <w:sz w:val="20"/>
          <w:szCs w:val="20"/>
          <w:color w:val="auto"/>
        </w:rPr>
      </w:pPr>
    </w:p>
    <w:p>
      <w:pPr>
        <w:ind w:left="340" w:hanging="332"/>
        <w:spacing w:after="0"/>
        <w:tabs>
          <w:tab w:leader="none" w:pos="3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13e-4(c) under the Exchange Act (17 CFR 240.13e-4(c))</w:t>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ectPr>
          <w:pgSz w:w="11900" w:h="16838" w:orient="portrait"/>
          <w:cols w:equalWidth="0" w:num="1">
            <w:col w:w="11100"/>
          </w:cols>
          <w:pgMar w:left="320" w:top="979" w:right="479" w:bottom="1440" w:gutter="0" w:footer="0" w:header="0"/>
        </w:sectPr>
      </w:pPr>
    </w:p>
    <w:p>
      <w:pPr>
        <w:spacing w:after="0" w:line="58"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color w:val="auto"/>
        </w:rPr>
        <w:t>Title of each class</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Trading Symbol(s)</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39" w:lineRule="exact"/>
        <w:rPr>
          <w:sz w:val="24"/>
          <w:szCs w:val="24"/>
          <w:color w:val="auto"/>
        </w:rPr>
      </w:pPr>
    </w:p>
    <w:p>
      <w:pPr>
        <w:sectPr>
          <w:pgSz w:w="11900" w:h="16838" w:orient="portrait"/>
          <w:cols w:equalWidth="0" w:num="3">
            <w:col w:w="4160" w:space="720"/>
            <w:col w:w="1640" w:space="720"/>
            <w:col w:w="3860"/>
          </w:cols>
          <w:pgMar w:left="320" w:top="979" w:right="479" w:bottom="1440" w:gutter="0" w:footer="0" w:header="0"/>
          <w:type w:val="continuous"/>
        </w:sectPr>
      </w:pPr>
    </w:p>
    <w:p>
      <w:pPr>
        <w:ind w:left="800"/>
        <w:spacing w:after="0"/>
        <w:rPr>
          <w:sz w:val="20"/>
          <w:szCs w:val="20"/>
          <w:color w:val="auto"/>
        </w:rPr>
      </w:pPr>
      <w:r>
        <w:rPr>
          <w:rFonts w:ascii="Times New Roman" w:cs="Times New Roman" w:eastAsia="Times New Roman" w:hAnsi="Times New Roman"/>
          <w:sz w:val="18"/>
          <w:szCs w:val="18"/>
          <w:color w:val="auto"/>
        </w:rPr>
        <w:t>Common Stock, $0.50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HAS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The NASDAQ Global Select Market</w:t>
      </w:r>
    </w:p>
    <w:p>
      <w:pPr>
        <w:spacing w:after="0" w:line="209" w:lineRule="exact"/>
        <w:rPr>
          <w:sz w:val="24"/>
          <w:szCs w:val="24"/>
          <w:color w:val="auto"/>
        </w:rPr>
      </w:pPr>
    </w:p>
    <w:p>
      <w:pPr>
        <w:sectPr>
          <w:pgSz w:w="11900" w:h="16838" w:orient="portrait"/>
          <w:cols w:equalWidth="0" w:num="3">
            <w:col w:w="4660" w:space="720"/>
            <w:col w:w="1540" w:space="720"/>
            <w:col w:w="3460"/>
          </w:cols>
          <w:pgMar w:left="320" w:top="979" w:right="479" w:bottom="1440" w:gutter="0" w:footer="0" w:header="0"/>
          <w:type w:val="continuous"/>
        </w:sectPr>
      </w:pPr>
    </w:p>
    <w:p>
      <w:pPr>
        <w:spacing w:after="0" w:line="245" w:lineRule="exact"/>
        <w:rPr>
          <w:sz w:val="24"/>
          <w:szCs w:val="24"/>
          <w:color w:val="auto"/>
        </w:rPr>
      </w:pPr>
    </w:p>
    <w:p>
      <w:pPr>
        <w:ind w:right="80"/>
        <w:spacing w:after="0" w:line="261" w:lineRule="auto"/>
        <w:rPr>
          <w:sz w:val="20"/>
          <w:szCs w:val="20"/>
          <w:color w:val="auto"/>
        </w:rPr>
      </w:pPr>
      <w:r>
        <w:rPr>
          <w:rFonts w:ascii="Times New Roman" w:cs="Times New Roman" w:eastAsia="Times New Roman" w:hAnsi="Times New Roman"/>
          <w:sz w:val="20"/>
          <w:szCs w:val="20"/>
          <w:color w:val="auto"/>
        </w:rPr>
        <w:t>Indicate by check mark whether the registrant is an emerging growth company as defined in Rule 405 of the Securities Act of 1933 or Rule 12b-2 of the Securities Exchange Act of 1934.</w:t>
      </w:r>
    </w:p>
    <w:p>
      <w:pPr>
        <w:spacing w:after="0" w:line="230" w:lineRule="exact"/>
        <w:tabs>
          <w:tab w:leader="none" w:pos="2340" w:val="left"/>
        </w:tabs>
        <w:rPr>
          <w:sz w:val="20"/>
          <w:szCs w:val="20"/>
          <w:color w:val="auto"/>
        </w:rPr>
      </w:pPr>
      <w:r>
        <w:rPr>
          <w:rFonts w:ascii="Times New Roman" w:cs="Times New Roman" w:eastAsia="Times New Roman" w:hAnsi="Times New Roman"/>
          <w:sz w:val="20"/>
          <w:szCs w:val="20"/>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147" w:lineRule="exact"/>
        <w:rPr>
          <w:sz w:val="24"/>
          <w:szCs w:val="24"/>
          <w:color w:val="auto"/>
        </w:rPr>
      </w:pPr>
    </w:p>
    <w:p>
      <w:pPr>
        <w:ind w:right="460"/>
        <w:spacing w:after="0" w:line="266" w:lineRule="exact"/>
        <w:rPr>
          <w:sz w:val="20"/>
          <w:szCs w:val="20"/>
          <w:color w:val="auto"/>
        </w:rPr>
      </w:pPr>
      <w:r>
        <w:rPr>
          <w:rFonts w:ascii="Times New Roman" w:cs="Times New Roman" w:eastAsia="Times New Roman" w:hAnsi="Times New Roman"/>
          <w:sz w:val="20"/>
          <w:szCs w:val="20"/>
          <w:color w:val="auto"/>
        </w:rPr>
        <w:t xml:space="preserve">If an emerging growth company, indicate by check mark if the registrant has elected not to use the extended transition period provided pursuant to Section 13(a) of the Exchange Act.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676275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79"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3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March 28, 2026, Hasbro, Inc. (the “Company”) identified unauthorized access to the Company’s network. Upon discovery, the Company promptly activated its security incident response protocols, implemented containment measures, including proactively taking certain systems offline, and launched an investigation with the assistance of third-party cybersecurity professionals.</w:t>
      </w:r>
    </w:p>
    <w:p>
      <w:pPr>
        <w:spacing w:after="0" w:line="6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Company’s investigation is ongoing, and it is working diligently to resolve the matter and determine the full scope of impact. The Company has implemented and continues to implement business continuity plans to enable it to continue to take orders, ship product and conduct other key operations while it resolves this situation. The need to run these interim measures may continue for several weeks before the situation is fully resolved and may result in some delays.</w:t>
      </w:r>
    </w:p>
    <w:p>
      <w:pPr>
        <w:spacing w:after="0" w:line="7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is also working to identify and review the files potentially impacted and will take additional actions as appropriate based on its review and findings, including providing any notifications deemed necessary under applicable law.</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continue to implement measures to secure its business operations and take additional steps as appropriate.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Safe Harbor Statement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Statements in this Current Report on Form 8-K that are not historical facts, such as those identified by the use of words “anticipate,” “believe,” “could,” “estimate,” “expect,” “feel,” “forecast,” “intend,” “may,” “plan,” “potential,” “project,” “should,” “would,” and similar expressions, are forward-looking statements under the provisions of the Private Securities Litigation Reform Act of 1995. Forward-looking statements address the Company’s expectations or beliefs concerning future events, including the Company’s investigation of and containment efforts related to the cybersecurity incident and its impact on the Company’s financial condition and results of operations. These statements are made based on management’s views and assumptions as of the date of this report. Forward-looking statements by their nature address matters that are uncertain, and you are urged to view them with caution. A wide range of factors could materially affect future developments and performance, including but not limited to uncertainties related to the Company’s ongoing investigation of the cybersecurity incident and the possibility that the Company’s containment and remediation efforts may be unsuccessful. Detailed information about these and other risks is included in the Company’s Annual Report on Form 10-K for the year ended December 28, 2025, and its other reports filed with the Securities and Exchange Commission. Except as required by applicable law, we do not undertake any obligation to publicly update or revise any of these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541020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518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HASBRO, INC.</w:t>
            </w:r>
          </w:p>
        </w:tc>
      </w:tr>
      <w:tr>
        <w:trPr>
          <w:trHeight w:val="83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Gina Goetter</w:t>
            </w:r>
          </w:p>
        </w:tc>
      </w:tr>
      <w:tr>
        <w:trPr>
          <w:trHeight w:val="2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Gina Goetter</w:t>
            </w: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Chief Operating Officer</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 2026</w:t>
      </w:r>
    </w:p>
    <w:sectPr>
      <w:pgSz w:w="11900" w:h="16838" w:orient="portrait"/>
      <w:cols w:equalWidth="0" w:num="1">
        <w:col w:w="11220"/>
      </w:cols>
      <w:pgMar w:left="320" w:top="113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2026-04-01T07:18:25Z</dcterms:created>
  <dcterms:modified xsi:type="dcterms:W3CDTF">2026-04-01T07:18:25Z</dcterms:modified>
</cp:coreProperties>
</file>