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29,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620" w:hanging="396"/>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1-6682</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HASBRO,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740" w:type="dxa"/>
        <w:tblCellMar>
          <w:top w:w="0" w:type="dxa"/>
          <w:left w:w="0" w:type="dxa"/>
          <w:bottom w:w="0" w:type="dxa"/>
          <w:right w:w="0" w:type="dxa"/>
        </w:tblCellMar>
      </w:tblPr>
      <w:tr>
        <w:trPr>
          <w:trHeight w:val="238"/>
        </w:trPr>
        <w:tc>
          <w:tcPr>
            <w:tcW w:w="53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Rhode Island</w:t>
            </w:r>
          </w:p>
        </w:tc>
        <w:tc>
          <w:tcPr>
            <w:tcW w:w="3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05-0155090</w:t>
            </w:r>
          </w:p>
        </w:tc>
      </w:tr>
      <w:tr>
        <w:trPr>
          <w:trHeight w:val="257"/>
        </w:trPr>
        <w:tc>
          <w:tcPr>
            <w:tcW w:w="53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51"/>
        </w:trPr>
        <w:tc>
          <w:tcPr>
            <w:tcW w:w="53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1027 Newport Avenue</w:t>
            </w:r>
          </w:p>
        </w:tc>
        <w:tc>
          <w:tcPr>
            <w:tcW w:w="3620" w:type="dxa"/>
            <w:vAlign w:val="bottom"/>
          </w:tcPr>
          <w:p>
            <w:pPr>
              <w:spacing w:after="0"/>
              <w:rPr>
                <w:sz w:val="24"/>
                <w:szCs w:val="24"/>
                <w:color w:val="auto"/>
              </w:rPr>
            </w:pPr>
          </w:p>
        </w:tc>
      </w:tr>
      <w:tr>
        <w:trPr>
          <w:trHeight w:val="257"/>
        </w:trPr>
        <w:tc>
          <w:tcPr>
            <w:tcW w:w="532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Pawtucket, Rhode Island</w:t>
            </w:r>
          </w:p>
        </w:tc>
        <w:tc>
          <w:tcPr>
            <w:tcW w:w="36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02861</w:t>
            </w:r>
          </w:p>
        </w:tc>
      </w:tr>
      <w:tr>
        <w:trPr>
          <w:trHeight w:val="257"/>
        </w:trPr>
        <w:tc>
          <w:tcPr>
            <w:tcW w:w="532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 431-8697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$0.50 par value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HAS</w:t>
            </w:r>
          </w:p>
        </w:tc>
        <w:tc>
          <w:tcPr>
            <w:tcW w:w="4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bl>
    <w:p>
      <w:pPr>
        <w:spacing w:after="0" w:line="387" w:lineRule="exact"/>
        <w:rPr>
          <w:sz w:val="24"/>
          <w:szCs w:val="24"/>
          <w:color w:val="auto"/>
        </w:rPr>
      </w:pPr>
    </w:p>
    <w:p>
      <w:pPr>
        <w:jc w:val="both"/>
        <w:ind w:right="6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7" w:lineRule="exact"/>
        <w:rPr>
          <w:sz w:val="24"/>
          <w:szCs w:val="24"/>
          <w:color w:val="auto"/>
        </w:rPr>
      </w:pPr>
    </w:p>
    <w:p>
      <w:pPr>
        <w:ind w:right="300" w:firstLine="567"/>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27" w:lineRule="exact"/>
        <w:rPr>
          <w:sz w:val="24"/>
          <w:szCs w:val="24"/>
          <w:color w:val="auto"/>
        </w:rPr>
      </w:pPr>
    </w:p>
    <w:p>
      <w:pPr>
        <w:ind w:right="16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660" w:type="dxa"/>
        <w:tblCellMar>
          <w:top w:w="0" w:type="dxa"/>
          <w:left w:w="0" w:type="dxa"/>
          <w:bottom w:w="0" w:type="dxa"/>
          <w:right w:w="0" w:type="dxa"/>
        </w:tblCellMar>
      </w:tblP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00" w:type="dxa"/>
            <w:vAlign w:val="bottom"/>
          </w:tcPr>
          <w:p>
            <w:pPr>
              <w:ind w:left="320"/>
              <w:spacing w:after="0"/>
              <w:rPr>
                <w:sz w:val="20"/>
                <w:szCs w:val="20"/>
                <w:color w:val="auto"/>
              </w:rPr>
            </w:pPr>
            <w:r>
              <w:rPr>
                <w:rFonts w:ascii="Wingdings" w:cs="Wingdings" w:eastAsia="Wingdings" w:hAnsi="Wingdings"/>
                <w:sz w:val="18"/>
                <w:szCs w:val="18"/>
                <w:b w:val="1"/>
                <w:bCs w:val="1"/>
                <w:color w:val="auto"/>
              </w:rPr>
              <w:t>x</w:t>
            </w:r>
          </w:p>
        </w:tc>
        <w:tc>
          <w:tcPr>
            <w:tcW w:w="42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ind w:right="240" w:firstLine="567"/>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94" w:lineRule="exact"/>
        <w:rPr>
          <w:sz w:val="24"/>
          <w:szCs w:val="24"/>
          <w:color w:val="auto"/>
        </w:rPr>
      </w:pPr>
    </w:p>
    <w:p>
      <w:pPr>
        <w:ind w:left="580"/>
        <w:spacing w:after="0" w:line="207" w:lineRule="exact"/>
        <w:tabs>
          <w:tab w:leader="none" w:pos="91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[x]</w:t>
      </w:r>
    </w:p>
    <w:p>
      <w:pPr>
        <w:spacing w:after="0" w:line="225"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number of shares of Common Stock, par value $.50 per share, outstanding as of October 28, 2024 was 139,501,418.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12529"/>
        </w:rPr>
        <w:t>Hasbro,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 the Quarter Ended September 29,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80" w:type="dxa"/>
            <w:vAlign w:val="bottom"/>
            <w:shd w:val="clear" w:color="auto" w:fill="CCEEFF"/>
          </w:tcPr>
          <w:p>
            <w:pPr>
              <w:spacing w:after="0"/>
              <w:rPr>
                <w:sz w:val="17"/>
                <w:szCs w:val="17"/>
                <w:color w:val="auto"/>
              </w:rPr>
            </w:pPr>
          </w:p>
        </w:tc>
        <w:tc>
          <w:tcPr>
            <w:tcW w:w="15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4860" w:type="dxa"/>
            <w:vAlign w:val="bottom"/>
            <w:gridSpan w:val="10"/>
            <w:shd w:val="clear" w:color="auto" w:fill="CCEEFF"/>
          </w:tcPr>
          <w:p>
            <w:pPr>
              <w:spacing w:after="0"/>
              <w:rPr>
                <w:sz w:val="17"/>
                <w:szCs w:val="17"/>
                <w:color w:val="auto"/>
              </w:rPr>
            </w:pPr>
          </w:p>
        </w:tc>
        <w:tc>
          <w:tcPr>
            <w:tcW w:w="2900" w:type="dxa"/>
            <w:vAlign w:val="bottom"/>
            <w:tcBorders>
              <w:right w:val="single" w:sz="8" w:color="CCEEFF"/>
            </w:tcBorders>
            <w:gridSpan w:val="3"/>
            <w:shd w:val="clear" w:color="auto" w:fill="CCEEFF"/>
          </w:tcPr>
          <w:p>
            <w:pPr>
              <w:ind w:left="2720"/>
              <w:spacing w:after="0"/>
              <w:rPr>
                <w:sz w:val="20"/>
                <w:szCs w:val="20"/>
                <w:color w:val="auto"/>
              </w:rPr>
            </w:pPr>
            <w:r>
              <w:rPr>
                <w:rFonts w:ascii="Times New Roman" w:cs="Times New Roman" w:eastAsia="Times New Roman" w:hAnsi="Times New Roman"/>
                <w:sz w:val="18"/>
                <w:szCs w:val="18"/>
                <w:color w:val="0000FF"/>
              </w:rPr>
              <w:t>5</w:t>
            </w:r>
          </w:p>
        </w:tc>
        <w:tc>
          <w:tcPr>
            <w:tcW w:w="46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280" w:type="dxa"/>
            <w:vAlign w:val="bottom"/>
          </w:tcPr>
          <w:p>
            <w:pPr>
              <w:spacing w:after="0"/>
              <w:rPr>
                <w:sz w:val="16"/>
                <w:szCs w:val="16"/>
                <w:color w:val="auto"/>
              </w:rPr>
            </w:pPr>
          </w:p>
        </w:tc>
        <w:tc>
          <w:tcPr>
            <w:tcW w:w="15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4860" w:type="dxa"/>
            <w:vAlign w:val="bottom"/>
            <w:gridSpan w:val="10"/>
          </w:tcPr>
          <w:p>
            <w:pPr>
              <w:spacing w:after="0"/>
              <w:rPr>
                <w:sz w:val="16"/>
                <w:szCs w:val="16"/>
                <w:color w:val="auto"/>
              </w:rPr>
            </w:pPr>
          </w:p>
        </w:tc>
        <w:tc>
          <w:tcPr>
            <w:tcW w:w="2900" w:type="dxa"/>
            <w:vAlign w:val="bottom"/>
            <w:gridSpan w:val="3"/>
          </w:tcPr>
          <w:p>
            <w:pPr>
              <w:ind w:left="27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40" w:type="dxa"/>
            <w:vAlign w:val="bottom"/>
            <w:gridSpan w:val="17"/>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2900" w:type="dxa"/>
            <w:vAlign w:val="bottom"/>
            <w:tcBorders>
              <w:right w:val="single" w:sz="8" w:color="CCEEFF"/>
            </w:tcBorders>
            <w:gridSpan w:val="3"/>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40" w:type="dxa"/>
            <w:vAlign w:val="bottom"/>
            <w:gridSpan w:val="17"/>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2900" w:type="dxa"/>
            <w:vAlign w:val="bottom"/>
            <w:gridSpan w:val="3"/>
          </w:tcPr>
          <w:p>
            <w:pPr>
              <w:ind w:left="272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4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40" w:type="dxa"/>
            <w:vAlign w:val="bottom"/>
            <w:gridSpan w:val="17"/>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Earnings (Loss)</w:t>
            </w:r>
          </w:p>
        </w:tc>
        <w:tc>
          <w:tcPr>
            <w:tcW w:w="2900" w:type="dxa"/>
            <w:vAlign w:val="bottom"/>
            <w:tcBorders>
              <w:right w:val="single" w:sz="8" w:color="CCEEFF"/>
            </w:tcBorders>
            <w:gridSpan w:val="3"/>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4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40" w:type="dxa"/>
            <w:vAlign w:val="bottom"/>
            <w:gridSpan w:val="17"/>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900" w:type="dxa"/>
            <w:vAlign w:val="bottom"/>
            <w:gridSpan w:val="3"/>
          </w:tcPr>
          <w:p>
            <w:pPr>
              <w:ind w:left="272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4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40" w:type="dxa"/>
            <w:vAlign w:val="bottom"/>
            <w:gridSpan w:val="17"/>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2900" w:type="dxa"/>
            <w:vAlign w:val="bottom"/>
            <w:tcBorders>
              <w:right w:val="single" w:sz="8" w:color="CCEEFF"/>
            </w:tcBorders>
            <w:gridSpan w:val="3"/>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4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40" w:type="dxa"/>
            <w:vAlign w:val="bottom"/>
            <w:gridSpan w:val="17"/>
          </w:tcPr>
          <w:p>
            <w:pPr>
              <w:ind w:left="220"/>
              <w:spacing w:after="0"/>
              <w:rPr>
                <w:sz w:val="20"/>
                <w:szCs w:val="20"/>
                <w:color w:val="auto"/>
              </w:rPr>
            </w:pPr>
            <w:r>
              <w:rPr>
                <w:rFonts w:ascii="Times New Roman" w:cs="Times New Roman" w:eastAsia="Times New Roman" w:hAnsi="Times New Roman"/>
                <w:sz w:val="18"/>
                <w:szCs w:val="18"/>
                <w:color w:val="0000FF"/>
              </w:rPr>
              <w:t>Condensed Notes to Consolidated Financial Statements</w:t>
            </w:r>
          </w:p>
        </w:tc>
        <w:tc>
          <w:tcPr>
            <w:tcW w:w="290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0000FF"/>
                <w:w w:val="77"/>
              </w:rPr>
              <w:t>11</w:t>
            </w:r>
          </w:p>
        </w:tc>
        <w:tc>
          <w:tcPr>
            <w:tcW w:w="46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280" w:type="dxa"/>
            <w:vAlign w:val="bottom"/>
            <w:shd w:val="clear" w:color="auto" w:fill="CCEEFF"/>
          </w:tcPr>
          <w:p>
            <w:pPr>
              <w:spacing w:after="0"/>
              <w:rPr>
                <w:sz w:val="16"/>
                <w:szCs w:val="16"/>
                <w:color w:val="auto"/>
              </w:rPr>
            </w:pPr>
          </w:p>
        </w:tc>
        <w:tc>
          <w:tcPr>
            <w:tcW w:w="64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60" w:type="dxa"/>
            <w:vAlign w:val="bottom"/>
            <w:gridSpan w:val="4"/>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280" w:type="dxa"/>
            <w:vAlign w:val="bottom"/>
          </w:tcPr>
          <w:p>
            <w:pPr>
              <w:spacing w:after="0"/>
              <w:rPr>
                <w:sz w:val="24"/>
                <w:szCs w:val="24"/>
                <w:color w:val="auto"/>
              </w:rPr>
            </w:pP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360" w:type="dxa"/>
            <w:vAlign w:val="bottom"/>
            <w:gridSpan w:val="4"/>
          </w:tcPr>
          <w:p>
            <w:pPr>
              <w:ind w:left="2720"/>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Item 4.</w:t>
            </w:r>
          </w:p>
        </w:tc>
        <w:tc>
          <w:tcPr>
            <w:tcW w:w="280" w:type="dxa"/>
            <w:vAlign w:val="bottom"/>
            <w:shd w:val="clear" w:color="auto" w:fill="CCEEFF"/>
          </w:tcPr>
          <w:p>
            <w:pPr>
              <w:spacing w:after="0"/>
              <w:rPr>
                <w:sz w:val="17"/>
                <w:szCs w:val="17"/>
                <w:color w:val="auto"/>
              </w:rPr>
            </w:pPr>
          </w:p>
        </w:tc>
        <w:tc>
          <w:tcPr>
            <w:tcW w:w="1780" w:type="dxa"/>
            <w:vAlign w:val="bottom"/>
            <w:gridSpan w:val="8"/>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shd w:val="clear" w:color="auto" w:fill="CCEEFF"/>
          </w:tcPr>
          <w:p>
            <w:pPr>
              <w:spacing w:after="0"/>
              <w:rPr>
                <w:sz w:val="17"/>
                <w:szCs w:val="17"/>
                <w:color w:val="auto"/>
              </w:rPr>
            </w:pPr>
          </w:p>
        </w:tc>
        <w:tc>
          <w:tcPr>
            <w:tcW w:w="2080" w:type="dxa"/>
            <w:vAlign w:val="bottom"/>
            <w:gridSpan w:val="2"/>
            <w:shd w:val="clear" w:color="auto" w:fill="CCEEFF"/>
          </w:tcPr>
          <w:p>
            <w:pPr>
              <w:spacing w:after="0"/>
              <w:rPr>
                <w:sz w:val="17"/>
                <w:szCs w:val="17"/>
                <w:color w:val="auto"/>
              </w:rPr>
            </w:pPr>
          </w:p>
        </w:tc>
        <w:tc>
          <w:tcPr>
            <w:tcW w:w="3360" w:type="dxa"/>
            <w:vAlign w:val="bottom"/>
            <w:gridSpan w:val="4"/>
            <w:shd w:val="clear" w:color="auto" w:fill="CCEEFF"/>
          </w:tcPr>
          <w:p>
            <w:pPr>
              <w:ind w:left="2720"/>
              <w:spacing w:after="0" w:line="203" w:lineRule="exact"/>
              <w:rPr>
                <w:sz w:val="20"/>
                <w:szCs w:val="20"/>
                <w:color w:val="auto"/>
              </w:rPr>
            </w:pPr>
            <w:r>
              <w:rPr>
                <w:rFonts w:ascii="Times New Roman" w:cs="Times New Roman" w:eastAsia="Times New Roman" w:hAnsi="Times New Roman"/>
                <w:sz w:val="18"/>
                <w:szCs w:val="18"/>
                <w:color w:val="0000FF"/>
              </w:rPr>
              <w:t>42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280" w:type="dxa"/>
            <w:vAlign w:val="bottom"/>
          </w:tcPr>
          <w:p>
            <w:pPr>
              <w:spacing w:after="0"/>
              <w:rPr>
                <w:sz w:val="16"/>
                <w:szCs w:val="16"/>
                <w:color w:val="auto"/>
              </w:rPr>
            </w:pPr>
          </w:p>
        </w:tc>
        <w:tc>
          <w:tcPr>
            <w:tcW w:w="17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4660" w:type="dxa"/>
            <w:vAlign w:val="bottom"/>
            <w:gridSpan w:val="9"/>
          </w:tcPr>
          <w:p>
            <w:pPr>
              <w:spacing w:after="0"/>
              <w:rPr>
                <w:sz w:val="16"/>
                <w:szCs w:val="16"/>
                <w:color w:val="auto"/>
              </w:rPr>
            </w:pPr>
          </w:p>
        </w:tc>
        <w:tc>
          <w:tcPr>
            <w:tcW w:w="3360" w:type="dxa"/>
            <w:vAlign w:val="bottom"/>
            <w:gridSpan w:val="4"/>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28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5100" w:type="dxa"/>
            <w:vAlign w:val="bottom"/>
            <w:gridSpan w:val="12"/>
            <w:shd w:val="clear" w:color="auto" w:fill="CCEEFF"/>
          </w:tcPr>
          <w:p>
            <w:pPr>
              <w:spacing w:after="0"/>
              <w:rPr>
                <w:sz w:val="16"/>
                <w:szCs w:val="16"/>
                <w:color w:val="auto"/>
              </w:rPr>
            </w:pPr>
          </w:p>
        </w:tc>
        <w:tc>
          <w:tcPr>
            <w:tcW w:w="3360" w:type="dxa"/>
            <w:vAlign w:val="bottom"/>
            <w:gridSpan w:val="4"/>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28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5100" w:type="dxa"/>
            <w:vAlign w:val="bottom"/>
            <w:gridSpan w:val="12"/>
          </w:tcPr>
          <w:p>
            <w:pPr>
              <w:spacing w:after="0"/>
              <w:rPr>
                <w:sz w:val="16"/>
                <w:szCs w:val="16"/>
                <w:color w:val="auto"/>
              </w:rPr>
            </w:pPr>
          </w:p>
        </w:tc>
        <w:tc>
          <w:tcPr>
            <w:tcW w:w="3360" w:type="dxa"/>
            <w:vAlign w:val="bottom"/>
            <w:gridSpan w:val="4"/>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280" w:type="dxa"/>
            <w:vAlign w:val="bottom"/>
            <w:shd w:val="clear" w:color="auto" w:fill="CCEEFF"/>
          </w:tcPr>
          <w:p>
            <w:pPr>
              <w:spacing w:after="0"/>
              <w:rPr>
                <w:sz w:val="16"/>
                <w:szCs w:val="16"/>
                <w:color w:val="auto"/>
              </w:rPr>
            </w:pPr>
          </w:p>
        </w:tc>
        <w:tc>
          <w:tcPr>
            <w:tcW w:w="43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080" w:type="dxa"/>
            <w:vAlign w:val="bottom"/>
            <w:gridSpan w:val="2"/>
            <w:shd w:val="clear" w:color="auto" w:fill="CCEEFF"/>
          </w:tcPr>
          <w:p>
            <w:pPr>
              <w:spacing w:after="0"/>
              <w:rPr>
                <w:sz w:val="16"/>
                <w:szCs w:val="16"/>
                <w:color w:val="auto"/>
              </w:rPr>
            </w:pPr>
          </w:p>
        </w:tc>
        <w:tc>
          <w:tcPr>
            <w:tcW w:w="3360" w:type="dxa"/>
            <w:vAlign w:val="bottom"/>
            <w:gridSpan w:val="4"/>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280" w:type="dxa"/>
            <w:vAlign w:val="bottom"/>
          </w:tcPr>
          <w:p>
            <w:pPr>
              <w:spacing w:after="0"/>
              <w:rPr>
                <w:sz w:val="16"/>
                <w:szCs w:val="16"/>
                <w:color w:val="auto"/>
              </w:rPr>
            </w:pPr>
          </w:p>
        </w:tc>
        <w:tc>
          <w:tcPr>
            <w:tcW w:w="43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080" w:type="dxa"/>
            <w:vAlign w:val="bottom"/>
            <w:gridSpan w:val="2"/>
          </w:tcPr>
          <w:p>
            <w:pPr>
              <w:spacing w:after="0"/>
              <w:rPr>
                <w:sz w:val="16"/>
                <w:szCs w:val="16"/>
                <w:color w:val="auto"/>
              </w:rPr>
            </w:pPr>
          </w:p>
        </w:tc>
        <w:tc>
          <w:tcPr>
            <w:tcW w:w="3360" w:type="dxa"/>
            <w:vAlign w:val="bottom"/>
            <w:gridSpan w:val="4"/>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280" w:type="dxa"/>
            <w:vAlign w:val="bottom"/>
            <w:shd w:val="clear" w:color="auto" w:fill="CCEEFF"/>
          </w:tcPr>
          <w:p>
            <w:pPr>
              <w:spacing w:after="0"/>
              <w:rPr>
                <w:sz w:val="16"/>
                <w:szCs w:val="16"/>
                <w:color w:val="auto"/>
              </w:rPr>
            </w:pPr>
          </w:p>
        </w:tc>
        <w:tc>
          <w:tcPr>
            <w:tcW w:w="17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4660" w:type="dxa"/>
            <w:vAlign w:val="bottom"/>
            <w:gridSpan w:val="9"/>
            <w:shd w:val="clear" w:color="auto" w:fill="CCEEFF"/>
          </w:tcPr>
          <w:p>
            <w:pPr>
              <w:spacing w:after="0"/>
              <w:rPr>
                <w:sz w:val="16"/>
                <w:szCs w:val="16"/>
                <w:color w:val="auto"/>
              </w:rPr>
            </w:pPr>
          </w:p>
        </w:tc>
        <w:tc>
          <w:tcPr>
            <w:tcW w:w="3360" w:type="dxa"/>
            <w:vAlign w:val="bottom"/>
            <w:gridSpan w:val="4"/>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280" w:type="dxa"/>
            <w:vAlign w:val="bottom"/>
          </w:tcPr>
          <w:p>
            <w:pPr>
              <w:spacing w:after="0"/>
              <w:rPr>
                <w:sz w:val="16"/>
                <w:szCs w:val="16"/>
                <w:color w:val="auto"/>
              </w:rPr>
            </w:pPr>
          </w:p>
        </w:tc>
        <w:tc>
          <w:tcPr>
            <w:tcW w:w="17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4660" w:type="dxa"/>
            <w:vAlign w:val="bottom"/>
            <w:gridSpan w:val="9"/>
          </w:tcPr>
          <w:p>
            <w:pPr>
              <w:spacing w:after="0"/>
              <w:rPr>
                <w:sz w:val="16"/>
                <w:szCs w:val="16"/>
                <w:color w:val="auto"/>
              </w:rPr>
            </w:pPr>
          </w:p>
        </w:tc>
        <w:tc>
          <w:tcPr>
            <w:tcW w:w="3360" w:type="dxa"/>
            <w:vAlign w:val="bottom"/>
            <w:gridSpan w:val="4"/>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280" w:type="dxa"/>
            <w:vAlign w:val="bottom"/>
            <w:shd w:val="clear" w:color="auto" w:fill="CCEEFF"/>
          </w:tcPr>
          <w:p>
            <w:pPr>
              <w:spacing w:after="0"/>
              <w:rPr>
                <w:sz w:val="16"/>
                <w:szCs w:val="16"/>
                <w:color w:val="auto"/>
              </w:rPr>
            </w:pPr>
          </w:p>
        </w:tc>
        <w:tc>
          <w:tcPr>
            <w:tcW w:w="64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3360" w:type="dxa"/>
            <w:vAlign w:val="bottom"/>
            <w:gridSpan w:val="4"/>
            <w:shd w:val="clear" w:color="auto" w:fill="CCEEFF"/>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gridSpan w:val="4"/>
          </w:tcPr>
          <w:p>
            <w:pPr>
              <w:ind w:left="2720"/>
              <w:spacing w:after="0" w:line="189" w:lineRule="exact"/>
              <w:rPr>
                <w:sz w:val="20"/>
                <w:szCs w:val="20"/>
                <w:color w:val="auto"/>
              </w:rPr>
            </w:pPr>
            <w:r>
              <w:rPr>
                <w:rFonts w:ascii="Times New Roman" w:cs="Times New Roman" w:eastAsia="Times New Roman" w:hAnsi="Times New Roman"/>
                <w:sz w:val="18"/>
                <w:szCs w:val="18"/>
                <w:color w:val="0000FF"/>
              </w:rPr>
              <w:t>47</w:t>
            </w: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640" w:type="dxa"/>
            <w:vAlign w:val="bottom"/>
            <w:gridSpan w:val="16"/>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212529"/>
        </w:rPr>
        <w:t>Special Note Regarding Forward-Looking Statements</w:t>
      </w:r>
    </w:p>
    <w:p>
      <w:pPr>
        <w:spacing w:after="0" w:line="22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Certain statements in this Quarterly Report on Form 10-Q (“Quarterly Report”) contain “forward-looking statements” within the meaning of the Private Securities Litigation Reform Act of 1995. These statements, which may be identified by the use of forward-looking words or phrases, include statements relating to: our business strategies and plans; products, gaming and entertainment; anticipated cost savings; expected debt repayments; expected impact of newly issued accounting pronouncements; and financial targets. Our actual actions or results may differ materially from those expected or anticipated in the forward-looking statements due to both known and unknown risks and uncertainties.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Factors that might cause such a difference include, but are not limited to:</w:t>
      </w:r>
    </w:p>
    <w:p>
      <w:pPr>
        <w:spacing w:after="0" w:line="27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execute on our business strategy and transformation initiatives, and to achieve anticipated cost savings;</w:t>
      </w:r>
    </w:p>
    <w:p>
      <w:pPr>
        <w:spacing w:after="0" w:line="8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innovate and invest in digital gaming, licensing arrangements and partnerships;</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compete in the play industry;</w:t>
      </w:r>
    </w:p>
    <w:p>
      <w:pPr>
        <w:spacing w:after="0" w:line="130"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transform our business and capabilities to address the changing global consumer landscape, including evolving demographics for our products and advancements in technology;</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design, develop, manufacture, and ship products on a timely and profitable basis;</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concentration of our customers, potentially increasing the negative impact to our business of difficulties experienced by any of our customers or changes in their purchasing or selling patterns;</w:t>
      </w:r>
    </w:p>
    <w:p>
      <w:pPr>
        <w:spacing w:after="0" w:line="132"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inflation and downturns in global and regional economic conditions impacting one or more of the markets in which we sell products, which can negatively impact our customers and consumers, result in lower employment levels, consumer disposable income, retailer inventories and spending, including lower spending on purchases of our products;</w:t>
      </w:r>
    </w:p>
    <w:p>
      <w:pPr>
        <w:spacing w:after="0" w:line="132"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political, economic and public health conditions or regulatory changes in the markets in which we and our customers, partners, licensees, suppliers and manufacturers operate, such as inflation, rising interest rates, tariffs, higher commodity prices, labor costs or transportation costs, or outbreaks of illness or disease, the occurrence of which could create work slowdowns, delays or shortages in production or shipment of products, increases in costs or delays in revenue;</w:t>
      </w:r>
    </w:p>
    <w:p>
      <w:pPr>
        <w:spacing w:after="0" w:line="127"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dependence on third party relationships, including with third party partners, manufacturers, distributors, studios, content producers, licensors, licensees, and outsourcers, which creates reliance on others and loss of control;</w:t>
      </w:r>
    </w:p>
    <w:p>
      <w:pPr>
        <w:spacing w:after="0" w:line="132" w:lineRule="exact"/>
        <w:rPr>
          <w:rFonts w:ascii="Arial" w:cs="Arial" w:eastAsia="Arial" w:hAnsi="Arial"/>
          <w:sz w:val="22"/>
          <w:szCs w:val="22"/>
          <w:color w:val="auto"/>
        </w:rPr>
      </w:pPr>
    </w:p>
    <w:p>
      <w:pPr>
        <w:ind w:left="660" w:right="2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the concentration of manufacturing for many of our products in the People’s Republic of China and our ability to successfully diversify sourcing of our products to reduce reliance on sources of supply in China;</w:t>
      </w:r>
    </w:p>
    <w:p>
      <w:pPr>
        <w:spacing w:after="0" w:line="126"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international operations, such as conflict in territories in which we operate, currency conversion, currency fluctuations, the imposition of tariffs, quotas, shipping delays or difficulties, border adjustment taxes or other protectionist measures, and other challenges in the territories in which we operate;</w:t>
      </w:r>
    </w:p>
    <w:p>
      <w:pPr>
        <w:spacing w:after="0" w:line="13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our leadership changes;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attract and retain talented and diverse employees, particularly following recent workforce reductions;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the impairment and/or write-offs of businesses, products and content we acquire and/or produce;</w:t>
      </w:r>
    </w:p>
    <w:p>
      <w:pPr>
        <w:spacing w:after="0" w:line="14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 that acquisitions, dispositions and other investments we complete may not provide us with the benefits we expect, or the realization of such benefits may be significantly delayed;</w:t>
      </w:r>
    </w:p>
    <w:p>
      <w:pPr>
        <w:spacing w:after="0" w:line="13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protect our assets and intellectual property, including as a result of infringement, theft, misappropriation, cyber-attacks or other acts compromising the integrity of our assets or intellectual property;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our business due to seasonality;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risk of product recalls or product liability suits and costs associated with product safety regulations;</w:t>
      </w:r>
    </w:p>
    <w:p>
      <w:pPr>
        <w:spacing w:after="0" w:line="130"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or tax laws or regulations, or the interpretation and application of such laws and regulations, which may cause us to alter reserves or make other changes which significantly impact our reported financial results;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litigation or arbitration decisions or settlement actions;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bankruptcy or other lack of success of one or more of our significant retailers, licensees and other partners;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other risks and uncertainties as may be detailed in our public announcements and U.S. Securities and Exchange Commission (“SEC”) filings.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For a detailed discussion of these and other risks, uncertainties and factors, see Part I, Item 1A— “Risk Factors” of our Annual Report on Form 10-K for the fiscal year ended December 31, 2023 (the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12529"/>
        </w:rPr>
        <w:t xml:space="preserve"> Annual Report”).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140" w:type="dxa"/>
            <w:vAlign w:val="bottom"/>
          </w:tcPr>
          <w:p>
            <w:pPr>
              <w:spacing w:after="0"/>
              <w:rPr>
                <w:sz w:val="16"/>
                <w:szCs w:val="16"/>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55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57"/>
        </w:trPr>
        <w:tc>
          <w:tcPr>
            <w:tcW w:w="20" w:type="dxa"/>
            <w:vAlign w:val="bottom"/>
            <w:shd w:val="clear" w:color="auto" w:fill="CCEEFF"/>
          </w:tcPr>
          <w:p>
            <w:pPr>
              <w:spacing w:after="0"/>
              <w:rPr>
                <w:sz w:val="13"/>
                <w:szCs w:val="13"/>
                <w:color w:val="auto"/>
              </w:rPr>
            </w:pPr>
          </w:p>
        </w:tc>
        <w:tc>
          <w:tcPr>
            <w:tcW w:w="700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2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 including restricted cash of $0.3 million, $1.1 million and $0.6 million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w:t>
            </w:r>
          </w:p>
        </w:tc>
      </w:tr>
      <w:tr>
        <w:trPr>
          <w:trHeight w:val="240"/>
        </w:trPr>
        <w:tc>
          <w:tcPr>
            <w:tcW w:w="20" w:type="dxa"/>
            <w:vAlign w:val="bottom"/>
          </w:tcPr>
          <w:p>
            <w:pPr>
              <w:spacing w:after="0"/>
              <w:rPr>
                <w:sz w:val="20"/>
                <w:szCs w:val="20"/>
                <w:color w:val="auto"/>
              </w:rPr>
            </w:pPr>
          </w:p>
        </w:tc>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w:t>
            </w:r>
          </w:p>
        </w:tc>
      </w:tr>
      <w:tr>
        <w:trPr>
          <w:trHeight w:val="213"/>
        </w:trPr>
        <w:tc>
          <w:tcPr>
            <w:tcW w:w="2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w:t>
            </w:r>
          </w:p>
        </w:tc>
      </w:tr>
      <w:tr>
        <w:trPr>
          <w:trHeight w:val="213"/>
        </w:trPr>
        <w:tc>
          <w:tcPr>
            <w:tcW w:w="2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Assets held for sale</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7000" w:type="dxa"/>
            <w:vAlign w:val="bottom"/>
            <w:tcBorders>
              <w:top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2,323.6</w:t>
            </w:r>
          </w:p>
        </w:tc>
      </w:tr>
      <w:tr>
        <w:trPr>
          <w:trHeight w:val="202"/>
        </w:trPr>
        <w:tc>
          <w:tcPr>
            <w:tcW w:w="20" w:type="dxa"/>
            <w:vAlign w:val="bottom"/>
          </w:tcPr>
          <w:p>
            <w:pPr>
              <w:spacing w:after="0"/>
              <w:rPr>
                <w:sz w:val="17"/>
                <w:szCs w:val="17"/>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of $643.2 million, $603.3 million and $618.9</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million</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488.6</w:t>
            </w: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2,279.2</w:t>
            </w:r>
          </w:p>
        </w:tc>
      </w:tr>
      <w:tr>
        <w:trPr>
          <w:trHeight w:val="205"/>
        </w:trPr>
        <w:tc>
          <w:tcPr>
            <w:tcW w:w="20" w:type="dxa"/>
            <w:vAlign w:val="bottom"/>
            <w:shd w:val="clear" w:color="auto" w:fill="CCEEFF"/>
          </w:tcPr>
          <w:p>
            <w:pPr>
              <w:spacing w:after="0"/>
              <w:rPr>
                <w:sz w:val="17"/>
                <w:szCs w:val="17"/>
                <w:color w:val="auto"/>
              </w:rPr>
            </w:pPr>
          </w:p>
        </w:tc>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intangible assets, net of accumulated amortization of $1,350.5 million, $1,229.3 million and</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2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$1,296.9 million</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587.5</w:t>
            </w:r>
          </w:p>
        </w:tc>
      </w:tr>
      <w:tr>
        <w:trPr>
          <w:trHeight w:val="213"/>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862.0</w:t>
            </w:r>
          </w:p>
        </w:tc>
      </w:tr>
      <w:tr>
        <w:trPr>
          <w:trHeight w:val="209"/>
        </w:trPr>
        <w:tc>
          <w:tcPr>
            <w:tcW w:w="20" w:type="dxa"/>
            <w:vAlign w:val="bottom"/>
            <w:shd w:val="clear" w:color="auto" w:fill="CCEEFF"/>
          </w:tcPr>
          <w:p>
            <w:pPr>
              <w:spacing w:after="0"/>
              <w:rPr>
                <w:sz w:val="18"/>
                <w:szCs w:val="18"/>
                <w:color w:val="auto"/>
              </w:rPr>
            </w:pPr>
          </w:p>
        </w:tc>
        <w:tc>
          <w:tcPr>
            <w:tcW w:w="70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3,728.7</w:t>
            </w:r>
          </w:p>
        </w:tc>
      </w:t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7,229.9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8,340.2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6,540.9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614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LIABILITIES, NONCONTROLLING INTERESTS AND SHAREHOLDERS' EQUITY</w:t>
            </w:r>
          </w:p>
        </w:tc>
        <w:tc>
          <w:tcPr>
            <w:tcW w:w="8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3"/>
        </w:trPr>
        <w:tc>
          <w:tcPr>
            <w:tcW w:w="20" w:type="dxa"/>
            <w:vAlign w:val="bottom"/>
          </w:tcPr>
          <w:p>
            <w:pPr>
              <w:spacing w:after="0"/>
              <w:rPr>
                <w:sz w:val="18"/>
                <w:szCs w:val="18"/>
                <w:color w:val="auto"/>
              </w:rPr>
            </w:pPr>
          </w:p>
        </w:tc>
        <w:tc>
          <w:tcPr>
            <w:tcW w:w="70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w:t>
            </w: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1,215.8</w:t>
            </w:r>
          </w:p>
        </w:tc>
      </w:tr>
      <w:tr>
        <w:trPr>
          <w:trHeight w:val="230"/>
        </w:trPr>
        <w:tc>
          <w:tcPr>
            <w:tcW w:w="20" w:type="dxa"/>
            <w:vAlign w:val="bottom"/>
          </w:tcPr>
          <w:p>
            <w:pPr>
              <w:spacing w:after="0"/>
              <w:rPr>
                <w:sz w:val="19"/>
                <w:szCs w:val="19"/>
                <w:color w:val="auto"/>
              </w:rPr>
            </w:pPr>
          </w:p>
        </w:tc>
        <w:tc>
          <w:tcPr>
            <w:tcW w:w="70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40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2,056.4</w:t>
            </w:r>
          </w:p>
        </w:tc>
      </w:tr>
      <w:tr>
        <w:trPr>
          <w:trHeight w:val="213"/>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2,965.8</w:t>
            </w: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w:t>
            </w:r>
          </w:p>
        </w:tc>
      </w:tr>
      <w:tr>
        <w:trPr>
          <w:trHeight w:val="207"/>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5,920.2</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5,453.9</w:t>
            </w: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6"/>
        </w:trPr>
        <w:tc>
          <w:tcPr>
            <w:tcW w:w="2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Preference stock of $2.50 par value. Authorized 5,000,000 shares; none issued</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20" w:type="dxa"/>
            <w:vAlign w:val="bottom"/>
          </w:tcPr>
          <w:p>
            <w:pPr>
              <w:spacing w:after="0"/>
              <w:rPr>
                <w:sz w:val="17"/>
                <w:szCs w:val="17"/>
                <w:color w:val="auto"/>
              </w:rPr>
            </w:pPr>
          </w:p>
        </w:tc>
        <w:tc>
          <w:tcPr>
            <w:tcW w:w="70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Common stock of $0.50 par value. Authorized 600,000,000 shares; issued 220,286,736 shares at</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September 29, 2024, October 1, 2023, and December 31, 2023</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2,590.6</w:t>
            </w:r>
          </w:p>
        </w:tc>
      </w:tr>
      <w:tr>
        <w:trPr>
          <w:trHeight w:val="213"/>
        </w:trPr>
        <w:tc>
          <w:tcPr>
            <w:tcW w:w="20" w:type="dxa"/>
            <w:vAlign w:val="bottom"/>
          </w:tcPr>
          <w:p>
            <w:pPr>
              <w:spacing w:after="0"/>
              <w:rPr>
                <w:sz w:val="18"/>
                <w:szCs w:val="18"/>
                <w:color w:val="auto"/>
              </w:rPr>
            </w:pPr>
          </w:p>
        </w:tc>
        <w:tc>
          <w:tcPr>
            <w:tcW w:w="70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2,188.4</w:t>
            </w: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r>
      <w:tr>
        <w:trPr>
          <w:trHeight w:val="202"/>
        </w:trPr>
        <w:tc>
          <w:tcPr>
            <w:tcW w:w="20" w:type="dxa"/>
            <w:vAlign w:val="bottom"/>
          </w:tcPr>
          <w:p>
            <w:pPr>
              <w:spacing w:after="0"/>
              <w:rPr>
                <w:sz w:val="17"/>
                <w:szCs w:val="17"/>
                <w:color w:val="auto"/>
              </w:rPr>
            </w:pPr>
          </w:p>
        </w:tc>
        <w:tc>
          <w:tcPr>
            <w:tcW w:w="70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Treasury stock, at cost; 80,798,468 shares at September 29, 2024; 81,541,637 shares at October 1,</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70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2023; and 81,498,181 shares at December 31, 2023</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(3,625.7)</w:t>
            </w: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07"/>
        </w:trPr>
        <w:tc>
          <w:tcPr>
            <w:tcW w:w="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64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 noncontrolling interests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(Millions of Dollars Except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80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5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r>
      <w:tr>
        <w:trPr>
          <w:trHeight w:val="214"/>
        </w:trPr>
        <w:tc>
          <w:tcPr>
            <w:tcW w:w="5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3,714.4</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w:t>
            </w:r>
          </w:p>
        </w:tc>
      </w:tr>
      <w:tr>
        <w:trPr>
          <w:trHeight w:val="213"/>
        </w:trPr>
        <w:tc>
          <w:tcPr>
            <w:tcW w:w="51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Program cost amortization</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r>
      <w:tr>
        <w:trPr>
          <w:trHeight w:val="219"/>
        </w:trPr>
        <w:tc>
          <w:tcPr>
            <w:tcW w:w="5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Royalties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w:t>
            </w:r>
          </w:p>
        </w:tc>
      </w:tr>
      <w:tr>
        <w:trPr>
          <w:trHeight w:val="213"/>
        </w:trPr>
        <w:tc>
          <w:tcPr>
            <w:tcW w:w="51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Product development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w:t>
            </w:r>
          </w:p>
        </w:tc>
      </w:tr>
      <w:tr>
        <w:trPr>
          <w:trHeight w:val="219"/>
        </w:trPr>
        <w:tc>
          <w:tcPr>
            <w:tcW w:w="5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Advertising</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r>
      <w:tr>
        <w:trPr>
          <w:trHeight w:val="213"/>
        </w:trPr>
        <w:tc>
          <w:tcPr>
            <w:tcW w:w="51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19"/>
        </w:trPr>
        <w:tc>
          <w:tcPr>
            <w:tcW w:w="5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Impairment of goodwill</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r>
      <w:tr>
        <w:trPr>
          <w:trHeight w:val="213"/>
        </w:trPr>
        <w:tc>
          <w:tcPr>
            <w:tcW w:w="51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Loss on disposal of business</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w:t>
            </w:r>
          </w:p>
        </w:tc>
      </w:tr>
      <w:tr>
        <w:trPr>
          <w:trHeight w:val="219"/>
        </w:trPr>
        <w:tc>
          <w:tcPr>
            <w:tcW w:w="5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Selling, distribution and administration</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w:t>
            </w:r>
          </w:p>
        </w:tc>
      </w:tr>
      <w:tr>
        <w:trPr>
          <w:trHeight w:val="207"/>
        </w:trPr>
        <w:tc>
          <w:tcPr>
            <w:tcW w:w="51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4,054.6</w:t>
            </w: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(loss)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13"/>
        </w:trPr>
        <w:tc>
          <w:tcPr>
            <w:tcW w:w="51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9"/>
        </w:trPr>
        <w:tc>
          <w:tcPr>
            <w:tcW w:w="5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7"/>
        </w:trPr>
        <w:tc>
          <w:tcPr>
            <w:tcW w:w="51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noncontrolling interests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attributable to Hasbro,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per common share:</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1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5"/>
        </w:trPr>
        <w:tc>
          <w:tcPr>
            <w:tcW w:w="51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268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0" w:type="dxa"/>
            <w:vAlign w:val="bottom"/>
          </w:tcPr>
          <w:p>
            <w:pPr>
              <w:spacing w:after="0"/>
              <w:rPr>
                <w:sz w:val="1"/>
                <w:szCs w:val="1"/>
                <w:color w:val="auto"/>
              </w:rPr>
            </w:pPr>
          </w:p>
        </w:tc>
      </w:tr>
      <w:tr>
        <w:trPr>
          <w:trHeight w:val="214"/>
        </w:trPr>
        <w:tc>
          <w:tcPr>
            <w:tcW w:w="5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w:t>
            </w:r>
          </w:p>
        </w:tc>
        <w:tc>
          <w:tcPr>
            <w:tcW w:w="0" w:type="dxa"/>
            <w:vAlign w:val="bottom"/>
          </w:tcPr>
          <w:p>
            <w:pPr>
              <w:spacing w:after="0"/>
              <w:rPr>
                <w:sz w:val="1"/>
                <w:szCs w:val="1"/>
                <w:color w:val="auto"/>
              </w:rPr>
            </w:pPr>
          </w:p>
        </w:tc>
      </w:tr>
      <w:tr>
        <w:trPr>
          <w:trHeight w:val="19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Foreign currency translation adjustments, net of tax</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3"/>
        </w:trPr>
        <w:tc>
          <w:tcPr>
            <w:tcW w:w="55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gains (losses) on cash flow hedging activities, net of tax</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Reclassifications to earnings, net of tax:</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0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Net gains on cash flow hedging activities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65"/>
        </w:trPr>
        <w:tc>
          <w:tcPr>
            <w:tcW w:w="5500" w:type="dxa"/>
            <w:vAlign w:val="bottom"/>
            <w:shd w:val="clear" w:color="auto" w:fill="CCEEFF"/>
          </w:tcPr>
          <w:p>
            <w:pPr>
              <w:ind w:left="1160"/>
              <w:spacing w:after="0" w:line="165" w:lineRule="exact"/>
              <w:rPr>
                <w:sz w:val="20"/>
                <w:szCs w:val="20"/>
                <w:color w:val="auto"/>
              </w:rPr>
            </w:pPr>
            <w:r>
              <w:rPr>
                <w:rFonts w:ascii="Times New Roman" w:cs="Times New Roman" w:eastAsia="Times New Roman" w:hAnsi="Times New Roman"/>
                <w:sz w:val="16"/>
                <w:szCs w:val="16"/>
                <w:color w:val="auto"/>
              </w:rPr>
              <w:t>Amortization of unrecognized pension and postretirement</w:t>
            </w: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amounts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 earnings, net of tax</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earnings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earnings (loss) attributable to Hasbro, Inc.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4"/>
          </w:tcPr>
          <w:p>
            <w:pPr>
              <w:jc w:val="right"/>
              <w:ind w:right="72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9"/>
        </w:trPr>
        <w:tc>
          <w:tcPr>
            <w:tcW w:w="8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20" w:type="dxa"/>
            <w:vAlign w:val="bottom"/>
          </w:tcPr>
          <w:p>
            <w:pPr>
              <w:spacing w:after="0"/>
              <w:rPr>
                <w:sz w:val="11"/>
                <w:szCs w:val="11"/>
                <w:color w:val="auto"/>
              </w:rPr>
            </w:pPr>
          </w:p>
        </w:tc>
        <w:tc>
          <w:tcPr>
            <w:tcW w:w="1120" w:type="dxa"/>
            <w:vAlign w:val="bottom"/>
          </w:tcPr>
          <w:p>
            <w:pPr>
              <w:jc w:val="right"/>
              <w:ind w:right="267"/>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r>
      <w:tr>
        <w:trPr>
          <w:trHeight w:val="196"/>
        </w:trPr>
        <w:tc>
          <w:tcPr>
            <w:tcW w:w="8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5"/>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(427.0)</w:t>
            </w:r>
          </w:p>
        </w:tc>
      </w:tr>
      <w:tr>
        <w:trPr>
          <w:trHeight w:val="21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earnings (loss) to net cash provided by operating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Depreciation of plant and equipment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88.0</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Loss on disposal of business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473.0</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Impairment of goodwill</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231.2</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65.0</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65.1</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Program production cost amortization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325.3</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55.9</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Other non-cash items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1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operating assets and liabilities net of acquired balances: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Increase in accounts receivable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(Increase) decrease in inventories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53.0</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Decrease in prepaid expenses and other current assets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17.0</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Program spend, net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Increase (decrease) in accounts payable and accrued liabilities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Change in net deemed repatriation tax</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196"/>
        </w:trPr>
        <w:tc>
          <w:tcPr>
            <w:tcW w:w="83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27.8</w:t>
            </w:r>
          </w:p>
        </w:tc>
      </w:tr>
      <w:tr>
        <w:trPr>
          <w:trHeight w:val="203"/>
        </w:trPr>
        <w:tc>
          <w:tcPr>
            <w:tcW w:w="8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334.9</w:t>
            </w:r>
          </w:p>
        </w:tc>
      </w:tr>
      <w:tr>
        <w:trPr>
          <w:trHeight w:val="176"/>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9"/>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r>
      <w:tr>
        <w:trPr>
          <w:trHeight w:val="237"/>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(settlement) proceeds from sale of business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Sale of investments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0"/>
        </w:trPr>
        <w:tc>
          <w:tcPr>
            <w:tcW w:w="83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Net cash utilized by investing activities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w:t>
            </w:r>
          </w:p>
        </w:tc>
      </w:tr>
      <w:tr>
        <w:trPr>
          <w:trHeight w:val="18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Proceeds from borrowings with maturity greater than three months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2.5</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Repayments of borrowings with maturity greater than three months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proceeds from other short-term borrowings</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0.3</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Dividends paid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Payments related to tax withholding for share-based compensation</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3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Payment of financing costs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0"/>
        </w:trPr>
        <w:tc>
          <w:tcPr>
            <w:tcW w:w="83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Net cash provided by (utilized by) financing activities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(418.0)</w:t>
            </w:r>
          </w:p>
        </w:tc>
      </w:tr>
      <w:tr>
        <w:trPr>
          <w:trHeight w:val="20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9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w:t>
            </w:r>
          </w:p>
        </w:tc>
      </w:tr>
      <w:tr>
        <w:trPr>
          <w:trHeight w:val="20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due to cash classified as held for sale</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r>
      <w:tr>
        <w:trPr>
          <w:trHeight w:val="189"/>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w:t>
            </w:r>
          </w:p>
        </w:tc>
      </w:tr>
      <w:tr>
        <w:trPr>
          <w:trHeight w:val="20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year</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513.1</w:t>
            </w:r>
          </w:p>
        </w:tc>
      </w:tr>
      <w:tr>
        <w:trPr>
          <w:trHeight w:val="202"/>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185.5</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information</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5"/>
        </w:trPr>
        <w:tc>
          <w:tcPr>
            <w:tcW w:w="83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Interest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126.7</w:t>
            </w:r>
          </w:p>
        </w:tc>
      </w:tr>
      <w:tr>
        <w:trPr>
          <w:trHeight w:val="210"/>
        </w:trPr>
        <w:tc>
          <w:tcPr>
            <w:tcW w:w="83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Income taxes, net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96.9</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2" w:right="399" w:bottom="1440" w:gutter="0" w:footer="0" w:header="0"/>
        </w:sectPr>
      </w:pPr>
    </w:p>
    <w:bookmarkStart w:id="8" w:name="page9"/>
    <w:bookmarkEnd w:id="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Retained</w:t>
            </w: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Treasury</w:t>
            </w:r>
          </w:p>
        </w:tc>
        <w:tc>
          <w:tcPr>
            <w:tcW w:w="140" w:type="dxa"/>
            <w:vAlign w:val="bottom"/>
          </w:tcPr>
          <w:p>
            <w:pPr>
              <w:spacing w:after="0"/>
              <w:rPr>
                <w:sz w:val="13"/>
                <w:szCs w:val="13"/>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3"/>
                <w:szCs w:val="13"/>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3"/>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Paid-in Capital</w:t>
            </w: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2,188.4</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1,087.0</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earnings attributable to Hasbro, Inc.</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46"/>
        </w:trPr>
        <w:tc>
          <w:tcPr>
            <w:tcW w:w="280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Net earnings attributable to noncontrolling</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139"/>
        </w:trPr>
        <w:tc>
          <w:tcPr>
            <w:tcW w:w="280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Distributions paid to noncontrolling owners</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other foreign exchange</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1,029.9</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earnings attributable to Hasbro, Inc.</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80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Distributions paid to noncontrolling owners</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other foreign exchange</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2,592.1</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2,284.7</w:t>
            </w:r>
          </w:p>
        </w:tc>
        <w:tc>
          <w:tcPr>
            <w:tcW w:w="120" w:type="dxa"/>
            <w:vAlign w:val="bottom"/>
          </w:tcPr>
          <w:p>
            <w:pPr>
              <w:spacing w:after="0"/>
              <w:rPr>
                <w:sz w:val="16"/>
                <w:szCs w:val="16"/>
                <w:color w:val="auto"/>
              </w:rPr>
            </w:pPr>
          </w:p>
        </w:tc>
        <w:tc>
          <w:tcPr>
            <w:tcW w:w="46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(3,614.1)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1,172.9</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earnings attributable to Hasbro, Inc.</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0" w:type="dxa"/>
            <w:vAlign w:val="bottom"/>
          </w:tcPr>
          <w:p>
            <w:pPr>
              <w:spacing w:after="0"/>
              <w:rPr>
                <w:sz w:val="1"/>
                <w:szCs w:val="1"/>
                <w:color w:val="auto"/>
              </w:rPr>
            </w:pPr>
          </w:p>
        </w:tc>
      </w:tr>
      <w:tr>
        <w:trPr>
          <w:trHeight w:val="139"/>
        </w:trPr>
        <w:tc>
          <w:tcPr>
            <w:tcW w:w="280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earnings attributable to noncontrolling</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3"/>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146"/>
        </w:trPr>
        <w:tc>
          <w:tcPr>
            <w:tcW w:w="280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Distributions paid to noncontrolling owners</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3"/>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other foreign exchange</w:t>
            </w: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29,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2,609.5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2,408.2</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62" w:right="519" w:bottom="1440" w:gutter="0" w:footer="0" w:header="0"/>
        </w:sectPr>
      </w:pPr>
    </w:p>
    <w:bookmarkStart w:id="9" w:name="page10"/>
    <w:bookmarkEnd w:id="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Treasury</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3"/>
                <w:szCs w:val="13"/>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3"/>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25,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2,861.9</w:t>
            </w: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 attributable to Hasbro, Inc.</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Net earnings attributable to noncontrolling</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earnings</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39"/>
        </w:trPr>
        <w:tc>
          <w:tcPr>
            <w:tcW w:w="282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Buyout of redeemable noncontrolling</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3"/>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Distributions paid to noncontrolling owners</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and other foreign exchange</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April 2, 2023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3,951.8</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(3,629.4)</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 attributable to Hasbro, Inc.</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0" w:type="dxa"/>
            <w:vAlign w:val="bottom"/>
          </w:tcPr>
          <w:p>
            <w:pPr>
              <w:spacing w:after="0"/>
              <w:rPr>
                <w:sz w:val="1"/>
                <w:szCs w:val="1"/>
                <w:color w:val="auto"/>
              </w:rPr>
            </w:pPr>
          </w:p>
        </w:tc>
      </w:tr>
      <w:tr>
        <w:trPr>
          <w:trHeight w:val="139"/>
        </w:trPr>
        <w:tc>
          <w:tcPr>
            <w:tcW w:w="282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Net earnings attributable to noncontrolling</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3"/>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earnings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Distributions paid to noncontrolling owners</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and other foreign exchange</w:t>
            </w: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July 2, 2023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2,554.6</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3,618.1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(3,626.3)</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2,470.2</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 attributable to Hasbro, Inc.</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0" w:type="dxa"/>
            <w:vAlign w:val="bottom"/>
          </w:tcPr>
          <w:p>
            <w:pPr>
              <w:spacing w:after="0"/>
              <w:rPr>
                <w:sz w:val="1"/>
                <w:szCs w:val="1"/>
                <w:color w:val="auto"/>
              </w:rPr>
            </w:pPr>
          </w:p>
        </w:tc>
      </w:tr>
      <w:tr>
        <w:trPr>
          <w:trHeight w:val="139"/>
        </w:trPr>
        <w:tc>
          <w:tcPr>
            <w:tcW w:w="282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Net earnings attributable to noncontrolling</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3"/>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earnings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transactions</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Distributions paid to noncontrolling owners</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3"/>
        </w:trPr>
        <w:tc>
          <w:tcPr>
            <w:tcW w:w="2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and other foreign exchange</w:t>
            </w: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October 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2,574.1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3,348.3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(3,626.3)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2,223.2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62" w:right="51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6"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In the opinion of management, the accompanying unaudited interim consolidated financial statements contain all normal and recurring adjustments necessary to present fairly the consolidated financial position of Hasbro, Inc. and all consolidated subsidiaries ("Hasbro" or the "Company") as of September 29, 2024, October 1, 2023, and December 31, 2023, and the results of its operations and cash flows and shareholders' equity for the periods ended September 29, 2024 and October 1, 2023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condensed notes thereto. Actual results could differ from those estimates.</w:t>
      </w:r>
    </w:p>
    <w:p>
      <w:pPr>
        <w:spacing w:after="0" w:line="20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three months ended September 29, 2024 and October 1, 2023 were 13-week periods. The nine months ended September 29, 2024 and October 1, 2023 were 39-week and 40-week periods, respectively.</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29, 2024 are not necessarily indicative of results to be expected for the full year 2024, nor were those of the comparable 2023 periods representative of those actually experienced for the full year 2023.</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31, 2023 in the Company's Annual Report on Form 10-K for the year ended December 31, 2023 ("2023 Form 10-K"), which includes all such information and disclosures and, accordingly, should be read in conjunction with the financial information included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Adjustments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29, 2024, the Company corrected prior period errors associated with an $18.1 million benefit related to the reversal of stock compensation expense for the Company's performance stock awards that should have been recorded during fiscal year 2023 (recorded in Selling, distribution and administration on the Consolidated Statements of Operations), a $31.1 million expense and associated liability related to historical environmental exposures in accordance with Accounting Standard Codification 410, Asset Retirement and Environmental Obligations (recorded in Selling, distribution and administration on the Consolidated Statements of Operations), and a $26.7 million benefit related to an over-accrual of vendor commitment liabilities (recorded in Cost of sales on the Consolidated Statements of Operations). The recording of these items was not considered to be material, individually or in the aggregate, to the Company's prior year financial statements or the 2024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1 to the consolidated financial statements included in the Company's 2023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Standards</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ended September 29, 2024, there were no recently adopted accounting standards that had a material effect on the Company’s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Accounting Pronouncements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amendments in this update enhance disclosures for significant segment expenses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entities required to report segment information in accordance with ASC 280. The standard did not change the definition of a segment, the method for determining segments or the criteria for aggregating operating segments into reportable segments. The amendments are effective for fiscal years beginning after December 15, 2023, and interim periods within fiscal years beginning after December 15, 2024. Retrospective adoption is required for all prior periods presented in the financial statements. We are assessing the impact of this ASU and upon adoption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1" w:name="page12"/>
    <w:bookmarkEnd w:id="11"/>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expect that any impact would be limited to additional segment expense disclosures in the footnotes to our consolidated financial statements. We expect to adopt the standard beginning with our 2024 Form 10-K.</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in Income Tax Disclosures</w:t>
      </w:r>
      <w:r>
        <w:rPr>
          <w:rFonts w:ascii="Times New Roman" w:cs="Times New Roman" w:eastAsia="Times New Roman" w:hAnsi="Times New Roman"/>
          <w:sz w:val="18"/>
          <w:szCs w:val="18"/>
          <w:color w:val="auto"/>
        </w:rPr>
        <w:t>. The amendments in this update enhance the transparency and decision usefulness of income tax disclosures. This amendment requires public companies to disclose specific categories in the rate reconciliation and provide additional information for reconciling items that meet a quantitative threshold. Additionally, under the amendment, entities are required to disclose the amount of income taxes paid disaggregated by federal, state and foreign taxes, as well as disaggregated by material individual jurisdictions. Finally, the amendment requires entities to disclose income from continuing operations before income tax expense disaggregated between domestic and foreign and income tax expense from continuing operations disaggregated by federal, state and foreign. The new rules are effective for annual periods beginning after December 15, 2024. We are currently assessing the impact of this ASU on our consolidated financial statements.</w:t>
      </w:r>
    </w:p>
    <w:p>
      <w:pPr>
        <w:spacing w:after="0" w:line="21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were no other recently issued accounting pronouncements which would have a material effect on the Company’s condensed consolidated financial statements.</w:t>
      </w:r>
    </w:p>
    <w:p>
      <w:pPr>
        <w:spacing w:after="0" w:line="18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functional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 The majority of the Company’s revenues are derived from sales of finished products to customers. See Note 1 of the Company's 2023 Annual Report for the Company's revenue recognition accounting policy.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Assets and Liabilities</w:t>
      </w:r>
    </w:p>
    <w:p>
      <w:pPr>
        <w:spacing w:after="0" w:line="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the Company’s Consumer Products, Wizards of the Coast and Digital Gaming and Entertainment segments enter into contracts to license certain of the Company’s intellectual property, providing licensees right-to-use or access such intellectual property for use in the production and sale of consumer products and digital game development,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through in-application purchases or through subscription services. These digital gaming revenues are recognized over a period of time, determined based on player usage patterns or the estimated playing life of the user, or when additional downloadable content is made available, or as with subscription services, ratably over the subscription term.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The Company records contract assets, primarily related to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and the long-term portion is recorded within Other long-term assets.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2" w:name="page13"/>
    <w:bookmarkEnd w:id="12"/>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carrying amounts of contract assets and liabilities for the nine months ended September 29, 2024 and October 1, 2023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320" w:type="dxa"/>
            <w:vAlign w:val="bottom"/>
          </w:tcPr>
          <w:p>
            <w:pPr>
              <w:spacing w:after="0"/>
              <w:rPr>
                <w:sz w:val="16"/>
                <w:szCs w:val="16"/>
                <w:color w:val="auto"/>
              </w:rPr>
            </w:pPr>
          </w:p>
        </w:tc>
        <w:tc>
          <w:tcPr>
            <w:tcW w:w="15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October 1,</w:t>
            </w:r>
          </w:p>
        </w:tc>
      </w:tr>
      <w:tr>
        <w:trPr>
          <w:trHeight w:val="214"/>
        </w:trPr>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694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594.4</w:t>
            </w:r>
          </w:p>
        </w:tc>
      </w:tr>
      <w:tr>
        <w:trPr>
          <w:trHeight w:val="21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Recognized in current year</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w:t>
            </w:r>
          </w:p>
        </w:tc>
      </w:tr>
      <w:tr>
        <w:trPr>
          <w:trHeight w:val="213"/>
        </w:trPr>
        <w:tc>
          <w:tcPr>
            <w:tcW w:w="20" w:type="dxa"/>
            <w:vAlign w:val="bottom"/>
          </w:tcPr>
          <w:p>
            <w:pPr>
              <w:spacing w:after="0"/>
              <w:rPr>
                <w:sz w:val="18"/>
                <w:szCs w:val="18"/>
                <w:color w:val="auto"/>
              </w:rPr>
            </w:pPr>
          </w:p>
        </w:tc>
        <w:tc>
          <w:tcPr>
            <w:tcW w:w="73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Amounts reclassified to accounts receivable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21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 xml:space="preserve">Reclassified to assets held for sale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(384.6)</w:t>
            </w:r>
          </w:p>
        </w:tc>
      </w:tr>
      <w:tr>
        <w:trPr>
          <w:trHeight w:val="213"/>
        </w:trPr>
        <w:tc>
          <w:tcPr>
            <w:tcW w:w="20" w:type="dxa"/>
            <w:vAlign w:val="bottom"/>
            <w:tcBorders>
              <w:bottom w:val="single" w:sz="8" w:color="CCEEFF"/>
            </w:tcBorders>
          </w:tcPr>
          <w:p>
            <w:pPr>
              <w:spacing w:after="0"/>
              <w:rPr>
                <w:sz w:val="18"/>
                <w:szCs w:val="18"/>
                <w:color w:val="auto"/>
              </w:rPr>
            </w:pPr>
          </w:p>
        </w:tc>
        <w:tc>
          <w:tcPr>
            <w:tcW w:w="73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6"/>
                <w:szCs w:val="16"/>
                <w:color w:val="auto"/>
              </w:rPr>
              <w:t>Foreign currency impact</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66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r>
      <w:tr>
        <w:trPr>
          <w:trHeight w:val="21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Recognized in current year</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r>
      <w:tr>
        <w:trPr>
          <w:trHeight w:val="213"/>
        </w:trPr>
        <w:tc>
          <w:tcPr>
            <w:tcW w:w="20" w:type="dxa"/>
            <w:vAlign w:val="bottom"/>
          </w:tcPr>
          <w:p>
            <w:pPr>
              <w:spacing w:after="0"/>
              <w:rPr>
                <w:sz w:val="18"/>
                <w:szCs w:val="18"/>
                <w:color w:val="auto"/>
              </w:rPr>
            </w:pPr>
          </w:p>
        </w:tc>
        <w:tc>
          <w:tcPr>
            <w:tcW w:w="73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Amounts in beginning balance reclassified to revenue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r>
      <w:tr>
        <w:trPr>
          <w:trHeight w:val="219"/>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year amounts reclassified to revenue</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r>
      <w:tr>
        <w:trPr>
          <w:trHeight w:val="216"/>
        </w:trPr>
        <w:tc>
          <w:tcPr>
            <w:tcW w:w="20" w:type="dxa"/>
            <w:vAlign w:val="bottom"/>
          </w:tcPr>
          <w:p>
            <w:pPr>
              <w:spacing w:after="0"/>
              <w:rPr>
                <w:sz w:val="18"/>
                <w:szCs w:val="18"/>
                <w:color w:val="auto"/>
              </w:rPr>
            </w:pPr>
          </w:p>
        </w:tc>
        <w:tc>
          <w:tcPr>
            <w:tcW w:w="738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Reclassified to liabilities held for sale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3"/>
        </w:trPr>
        <w:tc>
          <w:tcPr>
            <w:tcW w:w="2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impact</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ind w:left="180" w:hanging="172"/>
        <w:spacing w:after="0" w:line="233" w:lineRule="auto"/>
        <w:tabs>
          <w:tab w:leader="none" w:pos="180" w:val="left"/>
        </w:tabs>
        <w:numPr>
          <w:ilvl w:val="0"/>
          <w:numId w:val="7"/>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i w:val="1"/>
          <w:iCs w:val="1"/>
          <w:color w:val="auto"/>
        </w:rPr>
        <w:t>See Note 3 for additional information on assets and liabilities held for sale.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Unsatisfied performance obligations</w:t>
      </w:r>
    </w:p>
    <w:p>
      <w:pPr>
        <w:spacing w:after="0" w:line="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September 29, 2024, unrecognized revenue attributable to unsatisfied performance obligations expected to be recognized in the future was $2.7 million. Of this amount, we expect to recognize $0.6 million in the remainder of 2024 and $2.1 million in 2025. These amounts include only fixed consideration.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and Allowance for Credit Losses</w:t>
      </w:r>
    </w:p>
    <w:p>
      <w:pPr>
        <w:spacing w:after="0" w:line="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balance for accounts receivable on the Consolidated Balance Sheets as of September 29, 2024 and October 1, 2023 are primarily from contracts with customers. A summary of the activity in the allowance for credit losses for the nine months ended September 29, 2024 and October 1, 2023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October 1,</w:t>
            </w:r>
          </w:p>
        </w:tc>
      </w:tr>
      <w:tr>
        <w:trPr>
          <w:trHeight w:val="214"/>
        </w:trPr>
        <w:tc>
          <w:tcPr>
            <w:tcW w:w="74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2"/>
        </w:trPr>
        <w:tc>
          <w:tcPr>
            <w:tcW w:w="74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Charged to costs and expenses, net</w:t>
            </w: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accounts written off—net of recoveries</w:t>
            </w:r>
          </w:p>
        </w:tc>
        <w:tc>
          <w:tcPr>
            <w:tcW w:w="1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74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 xml:space="preserve">Reclassified to assets held for sale </w:t>
            </w:r>
            <w:r>
              <w:rPr>
                <w:rFonts w:ascii="Times New Roman" w:cs="Times New Roman" w:eastAsia="Times New Roman" w:hAnsi="Times New Roman"/>
                <w:sz w:val="21"/>
                <w:szCs w:val="21"/>
                <w:color w:val="auto"/>
                <w:vertAlign w:val="superscript"/>
              </w:rPr>
              <w:t>(1)</w:t>
            </w:r>
          </w:p>
        </w:tc>
        <w:tc>
          <w:tcPr>
            <w:tcW w:w="15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impact</w:t>
            </w:r>
          </w:p>
        </w:tc>
        <w:tc>
          <w:tcPr>
            <w:tcW w:w="1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i w:val="1"/>
          <w:iCs w:val="1"/>
          <w:color w:val="auto"/>
        </w:rPr>
        <w:t>See Note 3 for additional information on assets held for sale.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disaggregates its revenues from contracts with customers by reportable segment: Consumer Products, Wizards of the Coast and Digital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and Entertainment. The Company further disaggregates revenues within its Consumer Products segment by major geographic region: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Europe, Latin America, and Asia Pacific; within its Wizards of the Coast and Digital Gaming segment by category: Tabletop Gaming and Digital</w:t>
      </w:r>
    </w:p>
    <w:p>
      <w:pPr>
        <w:spacing w:after="0" w:line="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and Licensed Gaming; and within its Entertainment segment by category: Film &amp; TV, Family Brands, and Other. Finally, the Company disaggregates its revenues by brand portfolio into three brand categories: Franchise Brands, Partner Brands and Portfolio Brands. We believe these collectively depict how the nature, amount, timing and uncertainty of revenue and cash flows are affected by economic factors.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 w:name="page14"/>
    <w:bookmarkEnd w:id="13"/>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Effective in the first quarter of 2024, subsequent to the sale of the eOne Film and TV business (as defined in Note 3), the Company moved the remaining Non-Hasbro Branded Film &amp; TV brands into Portfolio Brands to align with the Company's Brand Strategy. For comparability, net revenues for the three and nine months ended October 1, 2023, have been reclassified to reflect the movement, resulting in a change of $0.3 million and $1.2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consolidated Consumer Products segment net revenues by major geographic region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2024 and October 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8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r>
      <w:tr>
        <w:trPr>
          <w:trHeight w:val="214"/>
        </w:trPr>
        <w:tc>
          <w:tcPr>
            <w:tcW w:w="4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1,234.7</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r>
      <w:tr>
        <w:trPr>
          <w:trHeight w:val="21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r>
      <w:tr>
        <w:trPr>
          <w:trHeight w:val="237"/>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following table represents consolidated Wizards of the Coast and Digital Gaming segment net revenues by category for the three and nine months ended September 29, 2024 and October 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302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7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33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r>
      <w:tr>
        <w:trPr>
          <w:trHeight w:val="214"/>
        </w:trPr>
        <w:tc>
          <w:tcPr>
            <w:tcW w:w="47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Tabletop Gaming</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w:t>
            </w:r>
          </w:p>
        </w:tc>
      </w:tr>
      <w:tr>
        <w:trPr>
          <w:trHeight w:val="21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Digital and Licensed Gaming</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287.5</w:t>
            </w: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1,094.4</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consolidated Entertainment segment net revenues by category for the three and nine months ended September 29,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8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r>
      <w:tr>
        <w:trPr>
          <w:trHeight w:val="214"/>
        </w:trPr>
        <w:tc>
          <w:tcPr>
            <w:tcW w:w="4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Film and TV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w:t>
            </w:r>
          </w:p>
        </w:tc>
      </w:tr>
      <w:tr>
        <w:trPr>
          <w:trHeight w:val="21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Family Brands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right="300" w:firstLine="8"/>
        <w:spacing w:after="0"/>
        <w:tabs>
          <w:tab w:leader="none" w:pos="165" w:val="left"/>
        </w:tabs>
        <w:numPr>
          <w:ilvl w:val="0"/>
          <w:numId w:val="9"/>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3"/>
          <w:szCs w:val="13"/>
          <w:i w:val="1"/>
          <w:iCs w:val="1"/>
          <w:color w:val="auto"/>
        </w:rPr>
        <w:t>Net revenues from the Company's Film and TV portfolio were primarily associated with the Company's non-core eOne Film and TV business sold to Lionsgate during the fourth quarter of 2023.</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consolidated net revenues by brand portfolio for the three and nine months ended September 29, 2024 and October 1,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8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r>
      <w:tr>
        <w:trPr>
          <w:trHeight w:val="214"/>
        </w:trPr>
        <w:tc>
          <w:tcPr>
            <w:tcW w:w="4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Brands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2,412.8</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Partner Brands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533.8</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Portfolio Brands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w:t>
            </w:r>
          </w:p>
        </w:tc>
      </w:tr>
      <w:tr>
        <w:trPr>
          <w:trHeight w:val="216"/>
        </w:trPr>
        <w:tc>
          <w:tcPr>
            <w:tcW w:w="4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Non-Hasbro Branded Film &amp; TV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r>
      <w:tr>
        <w:trPr>
          <w:trHeight w:val="235"/>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right="220" w:firstLine="8"/>
        <w:spacing w:after="0"/>
        <w:tabs>
          <w:tab w:leader="none" w:pos="165" w:val="left"/>
        </w:tabs>
        <w:numPr>
          <w:ilvl w:val="0"/>
          <w:numId w:val="10"/>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3"/>
          <w:szCs w:val="13"/>
          <w:i w:val="1"/>
          <w:iCs w:val="1"/>
          <w:color w:val="auto"/>
        </w:rPr>
        <w:t>Net revenues from the Company's Non-Hasbro-branded Film and TV portfolio were associated with the Company's non-core eOne Film and TV business sold to Lionsgate during the fourth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 w:name="page15"/>
    <w:bookmarkEnd w:id="14"/>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of Non-Core Entertainment One Film and TV Business</w:t>
      </w:r>
    </w:p>
    <w:p>
      <w:pPr>
        <w:spacing w:after="0" w:line="25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 December 27, 2023, the Company completed the sale of its Entertainment One film and television business ("eOne Film and TV") to Lions Gate Entertainment Corp., Lions Gate Entertainment Inc. and Lions Gate International Motion Pictures S.à.r.l (collectively "Lionsgate"), pursuant to the terms of an Equity Purchase Agreement dated August 3, 2023, among Hasbro and Lionsgate. The Company sold eOne Film and TV for a sales price of</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$375.0 million in cash, subject to the satisfaction of customary net working capital closing conditions and holdbacks for certain retained liabilities, plus the assumption by Lionsgate of production financing loans. During the nine months ended September 29, 2024, the Company recorded a $24.4 million expense in Loss on disposal of business on the Consolidated Statements of Operations associated with certain purchase price and related adjustments.</w:t>
      </w:r>
    </w:p>
    <w:p>
      <w:pPr>
        <w:spacing w:after="0" w:line="21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recorded a pre-tax non-cash charge of $539.0 million within Loss on disposal of business on the Consolidated Statements of Operations for the year ended December 31, 2023, of which $473.0 million was recorded during the three and nine months ended October 1, 2023. The Company also recorded pre-tax cash transaction expenses of $35.1 million within Selling, distribution and administration expense on the Consolidated Statements of Operations for the year ended December 31, 2023. See Note 3 of the Company's 2023 Annual Report for further detail of the Company's sale of the eOne Film and TV business.</w:t>
      </w:r>
    </w:p>
    <w:p>
      <w:pPr>
        <w:spacing w:after="0" w:line="2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non-core eOne Film and TV business met the criteria to be classified as held for sale at October 1, 2023, but did not meet the criteria to be classified as discontinued operations. As a result, the related assets and liabilities were included in the separate assets and liabilities held-for-sale line items of the asset and liability sections of the consolidated balance sheets. The following table summarizes the assets and liabilities held for sale at October 1, 2023:</w:t>
      </w:r>
    </w:p>
    <w:tbl>
      <w:tblPr>
        <w:tblLayout w:type="fixed"/>
        <w:tblInd w:w="0" w:type="dxa"/>
        <w:tblCellMar>
          <w:top w:w="0" w:type="dxa"/>
          <w:left w:w="0" w:type="dxa"/>
          <w:bottom w:w="0" w:type="dxa"/>
          <w:right w:w="0" w:type="dxa"/>
        </w:tblCellMar>
      </w:tblPr>
      <w:tr>
        <w:trPr>
          <w:trHeight w:val="245"/>
        </w:trPr>
        <w:tc>
          <w:tcPr>
            <w:tcW w:w="90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October 1, 2023</w:t>
            </w: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 including restricted cash of $4.1 million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$1.4 million</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less accumulated depreciation of $21.3 million</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r>
      <w:tr>
        <w:trPr>
          <w:trHeight w:val="230"/>
        </w:trPr>
        <w:tc>
          <w:tcPr>
            <w:tcW w:w="90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Write-down loss allowance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9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firstLine="8"/>
        <w:spacing w:after="0" w:line="212" w:lineRule="auto"/>
        <w:tabs>
          <w:tab w:leader="none" w:pos="181" w:val="left"/>
        </w:tabs>
        <w:numPr>
          <w:ilvl w:val="0"/>
          <w:numId w:val="12"/>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i w:val="1"/>
          <w:iCs w:val="1"/>
          <w:color w:val="auto"/>
        </w:rPr>
        <w:t>In addition to the write-down loss allowance of $457.3 million, the Company also recognized $15.7 million of currency translation losses on the classification of held for sale. The pre-tax non-cash loss on assets held for sale of $473.0 million includes both the write-down allowance and the currency translation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5" w:name="page16"/>
    <w:bookmarkEnd w:id="15"/>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(loss) per share data for the three and nine months ended September 29, 2024 and October 1, 2023 were computed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270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54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r>
      <w:tr>
        <w:trPr>
          <w:trHeight w:val="214"/>
        </w:trPr>
        <w:tc>
          <w:tcPr>
            <w:tcW w:w="5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attributable to Hasbro,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shares outstanding</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and other share-based awards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Equivalent Shares</w:t>
            </w: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5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attributable to Hasbro, Inc. per common share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0"/>
        </w:trPr>
        <w:tc>
          <w:tcPr>
            <w:tcW w:w="5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r>
    </w:tbl>
    <w:p>
      <w:pPr>
        <w:spacing w:after="0" w:line="3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29, 2024, options and restricted stock units totaling 1.1 million and 1.9 million, respectively, were excluded from the calculation of diluted earnings per share because to include them would have been anti-dilutive. For the three and nine months ended October 1, 2023, options and restricted stock units totaling 2.1 million and 2.5 million, respectively, were excluded from the calculation of diluted earnings per share because to include them would have been anti-dilutive. Of the fiscal 2023 amount, 1.9 million and 1.7 million shares, respectively, would have been included in the calculation of diluted shares had the Company not had a net loss for the three and nine months ended October 1, 2023. Assuming the Company was in a net earnings position, the awards and options that would have been included, under the treasury stock method, would have resulted in an additional 0.4 million and 0.2 million shares, respectively, being included in the diluted earnings per share calculation for the three and nine months ended October 1, 2023.</w:t>
      </w:r>
    </w:p>
    <w:p>
      <w:pPr>
        <w:spacing w:after="0" w:line="215"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operating segment, for the nine months ended September 29, 2024 and October 1, 2023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Consumer Products</w:t>
            </w:r>
          </w:p>
        </w:tc>
        <w:tc>
          <w:tcPr>
            <w:tcW w:w="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Wizards of the Coast</w:t>
            </w:r>
          </w:p>
        </w:tc>
        <w:tc>
          <w:tcPr>
            <w:tcW w:w="180" w:type="dxa"/>
            <w:vAlign w:val="bottom"/>
          </w:tcPr>
          <w:p>
            <w:pPr>
              <w:spacing w:after="0"/>
              <w:rPr>
                <w:sz w:val="16"/>
                <w:szCs w:val="16"/>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Entertainment </w:t>
            </w:r>
            <w:r>
              <w:rPr>
                <w:rFonts w:ascii="Times New Roman" w:cs="Times New Roman" w:eastAsia="Times New Roman" w:hAnsi="Times New Roman"/>
                <w:sz w:val="21"/>
                <w:szCs w:val="21"/>
                <w:b w:val="1"/>
                <w:bCs w:val="1"/>
                <w:color w:val="auto"/>
                <w:vertAlign w:val="superscript"/>
              </w:rPr>
              <w:t>(1)</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 Digital Gaming</w:t>
            </w:r>
          </w:p>
        </w:tc>
        <w:tc>
          <w:tcPr>
            <w:tcW w:w="1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94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1,582.3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325.2</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2,279.2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September 29,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1,582.2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371.5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325.2</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2,278.9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Consumer Products</w:t>
            </w:r>
          </w:p>
        </w:tc>
        <w:tc>
          <w:tcPr>
            <w:tcW w:w="120" w:type="dxa"/>
            <w:vAlign w:val="bottom"/>
          </w:tcPr>
          <w:p>
            <w:pPr>
              <w:spacing w:after="0"/>
              <w:rPr>
                <w:sz w:val="24"/>
                <w:szCs w:val="24"/>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Wizards of the Coast</w:t>
            </w:r>
          </w:p>
        </w:tc>
        <w:tc>
          <w:tcPr>
            <w:tcW w:w="180" w:type="dxa"/>
            <w:vAlign w:val="bottom"/>
          </w:tcPr>
          <w:p>
            <w:pPr>
              <w:spacing w:after="0"/>
              <w:rPr>
                <w:sz w:val="24"/>
                <w:szCs w:val="24"/>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Entertainment </w:t>
            </w:r>
            <w:r>
              <w:rPr>
                <w:rFonts w:ascii="Times New Roman" w:cs="Times New Roman" w:eastAsia="Times New Roman" w:hAnsi="Times New Roman"/>
                <w:sz w:val="21"/>
                <w:szCs w:val="21"/>
                <w:b w:val="1"/>
                <w:bCs w:val="1"/>
                <w:color w:val="auto"/>
                <w:vertAlign w:val="superscript"/>
              </w:rPr>
              <w:t>(1)</w:t>
            </w:r>
          </w:p>
        </w:tc>
        <w:tc>
          <w:tcPr>
            <w:tcW w:w="400" w:type="dxa"/>
            <w:vAlign w:val="bottom"/>
          </w:tcPr>
          <w:p>
            <w:pPr>
              <w:spacing w:after="0"/>
              <w:rPr>
                <w:sz w:val="24"/>
                <w:szCs w:val="24"/>
                <w:color w:val="auto"/>
              </w:rPr>
            </w:pPr>
          </w:p>
        </w:tc>
        <w:tc>
          <w:tcPr>
            <w:tcW w:w="136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 Digital Gaming</w:t>
            </w:r>
          </w:p>
        </w:tc>
        <w:tc>
          <w:tcPr>
            <w:tcW w:w="1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94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December 25,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1,584.7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1,513.9</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3,470.1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during the period</w:t>
            </w:r>
          </w:p>
        </w:tc>
        <w:tc>
          <w:tcPr>
            <w:tcW w:w="14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(231.2)</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October 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1,282.7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3,238.8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6" w:name="page17"/>
    <w:bookmarkEnd w:id="16"/>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1" w:lineRule="exact"/>
        <w:rPr>
          <w:sz w:val="20"/>
          <w:szCs w:val="20"/>
          <w:color w:val="auto"/>
        </w:rPr>
      </w:pPr>
    </w:p>
    <w:p>
      <w:pPr>
        <w:ind w:right="260" w:firstLine="8"/>
        <w:spacing w:after="0"/>
        <w:tabs>
          <w:tab w:leader="none" w:pos="145" w:val="left"/>
        </w:tabs>
        <w:numPr>
          <w:ilvl w:val="0"/>
          <w:numId w:val="15"/>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During the fourth quarter of 2023, the Company recorded $960.0 million of non-cash goodwill impairment charges within the Entertainment segment. See further detail in the 2023 Annual Report.</w:t>
      </w:r>
    </w:p>
    <w:p>
      <w:pPr>
        <w:spacing w:after="0" w:line="200" w:lineRule="exact"/>
        <w:rPr>
          <w:sz w:val="20"/>
          <w:szCs w:val="20"/>
          <w:color w:val="auto"/>
        </w:rPr>
      </w:pPr>
    </w:p>
    <w:p>
      <w:pPr>
        <w:spacing w:after="0" w:line="2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nine months ended October 1, 2023, the Company recorded non-cash impairment charges of $296.2 million within the Entertainment segment. These impairment charges consisted of a $231.2 million goodwill impairment charge recorded within Impairment of goodwill and a $65.0 million intangible asset impairment charge, recorded in Selling, distribution and administration costs, within the Consolidated Statements of Operations for the nine months ended October 1, 2023.</w:t>
      </w:r>
    </w:p>
    <w:p>
      <w:pPr>
        <w:spacing w:after="0" w:line="203"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Comprehensive Earnings (Loss)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Components of Other comprehensive earnings (loss) are presented within the Consolidated Statements of Comprehensive Earnings (Loss). The following table presents the related tax effects on changes in Other comprehensive earnings (loss) for the three and nine months ended September 29, 2024 and October 1, 2023.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86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Pr>
          <w:p>
            <w:pPr>
              <w:spacing w:after="0"/>
              <w:rPr>
                <w:sz w:val="13"/>
                <w:szCs w:val="13"/>
                <w:color w:val="auto"/>
              </w:rPr>
            </w:pPr>
          </w:p>
        </w:tc>
        <w:tc>
          <w:tcPr>
            <w:tcW w:w="1240" w:type="dxa"/>
            <w:vAlign w:val="bottom"/>
          </w:tcPr>
          <w:p>
            <w:pPr>
              <w:jc w:val="center"/>
              <w:ind w:right="1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October 1,</w:t>
            </w:r>
          </w:p>
        </w:tc>
      </w:tr>
      <w:tr>
        <w:trPr>
          <w:trHeight w:val="214"/>
        </w:trPr>
        <w:tc>
          <w:tcPr>
            <w:tcW w:w="48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 tax effect:</w:t>
            </w: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benefit (expense) on cash flow hedging activities</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tcPr>
          <w:p>
            <w:pPr>
              <w:spacing w:after="0"/>
              <w:rPr>
                <w:sz w:val="18"/>
                <w:szCs w:val="18"/>
                <w:color w:val="auto"/>
              </w:rPr>
            </w:pP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9"/>
              </w:rPr>
              <w:t>1.6</w:t>
            </w: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Reclassifications to earnings (loss), tax effect:</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4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(benefit) expense on cash flow hedging activities</w:t>
            </w:r>
          </w:p>
        </w:tc>
        <w:tc>
          <w:tcPr>
            <w:tcW w:w="12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(1.4)</w:t>
            </w:r>
          </w:p>
        </w:tc>
      </w:tr>
      <w:tr>
        <w:trPr>
          <w:trHeight w:val="216"/>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unrecognized pension and postretirement amounts</w:t>
            </w:r>
          </w:p>
        </w:tc>
        <w:tc>
          <w:tcPr>
            <w:tcW w:w="1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0.1</w:t>
            </w:r>
          </w:p>
        </w:tc>
      </w:tr>
      <w:tr>
        <w:trPr>
          <w:trHeight w:val="21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tax effect on other comprehensive earnings (loss)</w:t>
            </w:r>
          </w:p>
        </w:tc>
        <w:tc>
          <w:tcPr>
            <w:tcW w:w="1280" w:type="dxa"/>
            <w:vAlign w:val="bottom"/>
            <w:tcBorders>
              <w:top w:val="single" w:sz="8" w:color="auto"/>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center"/>
              <w:ind w:left="839"/>
              <w:spacing w:after="0"/>
              <w:rPr>
                <w:sz w:val="20"/>
                <w:szCs w:val="20"/>
                <w:color w:val="auto"/>
              </w:rPr>
            </w:pPr>
            <w:r>
              <w:rPr>
                <w:rFonts w:ascii="Times New Roman" w:cs="Times New Roman" w:eastAsia="Times New Roman" w:hAnsi="Times New Roman"/>
                <w:sz w:val="16"/>
                <w:szCs w:val="16"/>
                <w:color w:val="auto"/>
                <w:w w:val="99"/>
              </w:rPr>
              <w:t>0.3</w:t>
            </w:r>
          </w:p>
        </w:tc>
      </w:tr>
      <w:tr>
        <w:trPr>
          <w:trHeight w:val="20"/>
        </w:trPr>
        <w:tc>
          <w:tcPr>
            <w:tcW w:w="4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Changes in the components of Accumulated other comprehensive earnings (loss), net of tax for the nine months ended September 29, 2024 and October 1, 2023 are as follows: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Holding</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Pension and</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(Losses) on</w:t>
            </w: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(Losses) on</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Postretirement</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for-Sale</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3960" w:type="dxa"/>
            <w:vAlign w:val="bottom"/>
            <w:tcBorders>
              <w:top w:val="single" w:sz="8" w:color="CCEEFF"/>
            </w:tcBorders>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period other comprehensive earnings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September 29,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98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25,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period other comprehensive earnings (loss)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Gains (Losses) on Derivative Instruments</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September 29, 2024, the Company had remaining deferred losses on foreign currency forward contracts, net of tax, of $0.2 million in Accumulated other comprehensive earnings (loss) ("AOCE"). These instruments hedge payments related to inventory purchased in the nine months ended September 29, 2024 or forecasted to be purchased during the remainder of 2024, intercompany expenses expected to be paid or received during 2024 and cash receipts for sales made at the end of the third quarter of 2024 or forecasted to be made in the remainder of 2024. These amounts will be reclassified into the Consolidated Statements of Operations upon the sale of the related inventory or recognition of the related sales expenses.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7" w:name="page18"/>
    <w:bookmarkEnd w:id="17"/>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foreign currency forward contracts, the Company entered into hedging contracts on future interest payments related to the 3.15% Notes that were repaid in full in the aggregate principal amount of $300.0 million in 2021, and the 5.10% Notes due 2044. At the date of debt issuance, these contracts were terminated and the fair value on the date of settlement was deferred in AOCE and is being amortized to interest expense over the life of the related Notes using the effective interest rate method. At September 29, 2024, deferred losses, net of tax of $13.5 million related to these instruments remained in AOCE. For each of the three months ended September 29, 2024 and October 1, 2023, previously deferred losses, net of tax of $0.2 million related to these instruments were reclassified from AOCE to net earnings. For the nine months ended September 29, 2024 and October 1, 2023, previously deferred losses, net of tax of $0.5 million and $0.5 million, respectively, related to these instruments were reclassified from AOCE to net earnings.</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Of the net deferred losses included in AOCE at September 29, 2024, the Company expects net losses of approximately $0.4 million to be reclassified to the Consolidated Statements of Operations within the next twelve months. However, the amount ultimately realized in earnings is dependent on the fair value of the hedging instruments on the settlement dates.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for additional discussion on reclassifications from AOCE to earnings.</w:t>
      </w:r>
    </w:p>
    <w:p>
      <w:pPr>
        <w:spacing w:after="0" w:line="248"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Balance Sheet Information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Accrued liabilities for the periods ended September 29, 2024, October 1, 2023 and December 31, 2023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28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140" w:type="dxa"/>
            <w:vAlign w:val="bottom"/>
          </w:tcPr>
          <w:p>
            <w:pPr>
              <w:spacing w:after="0"/>
              <w:rPr>
                <w:sz w:val="16"/>
                <w:szCs w:val="16"/>
                <w:color w:val="auto"/>
              </w:rPr>
            </w:pPr>
          </w:p>
        </w:tc>
        <w:tc>
          <w:tcPr>
            <w:tcW w:w="15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4"/>
        </w:trPr>
        <w:tc>
          <w:tcPr>
            <w:tcW w:w="5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Lag &amp; cancellation charges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Dividends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vendor accruals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Participations and residuals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Advertising</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liability - current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Payroll and management incentives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Defined contribution plans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Freight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 IIP &amp; IIC</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2"/>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00" w:firstLine="8"/>
        <w:spacing w:after="0" w:line="222" w:lineRule="auto"/>
        <w:tabs>
          <w:tab w:leader="none" w:pos="165" w:val="left"/>
        </w:tabs>
        <w:numPr>
          <w:ilvl w:val="0"/>
          <w:numId w:val="18"/>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3"/>
          <w:szCs w:val="13"/>
          <w:i w:val="1"/>
          <w:iCs w:val="1"/>
          <w:color w:val="auto"/>
        </w:rPr>
        <w:t>During the fourth quarter of 2024, the Board of Directors declared a quarterly cash dividend of $0.70 per common share payable on December 4, 2024, to shareholders of record at the close of business on November 24, 2024.</w:t>
      </w:r>
    </w:p>
    <w:p>
      <w:pPr>
        <w:spacing w:after="0" w:line="20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include accrued income, current of $173.6 million, $92.0 million, and $85.6 million as of September 29, 2024, October 1, 2023 and December 31, 2023, respectively.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assets include deferred tax assets of $407.1 million, $251.7 million, and $427.9 million as of September 29, 2024, October 1, 2023 and December 31, 2023, respectively, and content assets of $145.1 million, $196.5 million, and $162.8 million as of September 29, 2024, October 1, 2023 and December 31, 2023, respectively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8" w:name="page19"/>
    <w:bookmarkEnd w:id="18"/>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79"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costs, which are equal to the outstanding principal amounts, and fair values of the Company's long-term borrowings as of September 29,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2023 and December 31, 2023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20" w:type="dxa"/>
            <w:vAlign w:val="bottom"/>
          </w:tcPr>
          <w:p>
            <w:pPr>
              <w:spacing w:after="0"/>
              <w:rPr>
                <w:sz w:val="18"/>
                <w:szCs w:val="18"/>
                <w:color w:val="auto"/>
              </w:rPr>
            </w:pPr>
          </w:p>
        </w:tc>
        <w:tc>
          <w:tcPr>
            <w:tcW w:w="262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220" w:type="dxa"/>
            <w:vAlign w:val="bottom"/>
          </w:tcPr>
          <w:p>
            <w:pPr>
              <w:spacing w:after="0"/>
              <w:rPr>
                <w:sz w:val="18"/>
                <w:szCs w:val="18"/>
                <w:color w:val="auto"/>
              </w:rPr>
            </w:pPr>
          </w:p>
        </w:tc>
        <w:tc>
          <w:tcPr>
            <w:tcW w:w="250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9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80" w:type="dxa"/>
            <w:vAlign w:val="bottom"/>
          </w:tcPr>
          <w:p>
            <w:pPr>
              <w:spacing w:after="0"/>
              <w:rPr>
                <w:sz w:val="18"/>
                <w:szCs w:val="18"/>
                <w:color w:val="auto"/>
              </w:rPr>
            </w:pP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2029</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3.55%</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0" w:type="dxa"/>
            <w:vAlign w:val="bottom"/>
          </w:tcPr>
          <w:p>
            <w:pPr>
              <w:spacing w:after="0"/>
              <w:rPr>
                <w:sz w:val="1"/>
                <w:szCs w:val="1"/>
                <w:color w:val="auto"/>
              </w:rPr>
            </w:pPr>
          </w:p>
        </w:tc>
      </w:tr>
      <w:tr>
        <w:trPr>
          <w:trHeight w:val="213"/>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6.35%</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2040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w:t>
            </w:r>
          </w:p>
        </w:tc>
        <w:tc>
          <w:tcPr>
            <w:tcW w:w="0" w:type="dxa"/>
            <w:vAlign w:val="bottom"/>
          </w:tcPr>
          <w:p>
            <w:pPr>
              <w:spacing w:after="0"/>
              <w:rPr>
                <w:sz w:val="1"/>
                <w:szCs w:val="1"/>
                <w:color w:val="auto"/>
              </w:rPr>
            </w:pPr>
          </w:p>
        </w:tc>
      </w:tr>
      <w:tr>
        <w:trPr>
          <w:trHeight w:val="213"/>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2027</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0" w:type="dxa"/>
            <w:vAlign w:val="bottom"/>
          </w:tcPr>
          <w:p>
            <w:pPr>
              <w:spacing w:after="0"/>
              <w:rPr>
                <w:sz w:val="1"/>
                <w:szCs w:val="1"/>
                <w:color w:val="auto"/>
              </w:rPr>
            </w:pPr>
          </w:p>
        </w:tc>
      </w:tr>
      <w:tr>
        <w:trPr>
          <w:trHeight w:val="21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6.05% Notes Due 2034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5.10%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2044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6.60%</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Debentures Due 2028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162"/>
        </w:trPr>
        <w:tc>
          <w:tcPr>
            <w:tcW w:w="27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Variable % Notes Due December 30,</w:t>
            </w:r>
          </w:p>
        </w:tc>
        <w:tc>
          <w:tcPr>
            <w:tcW w:w="2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2024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Production Financing Facilities </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3,984.9</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3,734.9</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3,463.1</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3,484.9</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3,349.1</w:t>
            </w:r>
          </w:p>
        </w:tc>
        <w:tc>
          <w:tcPr>
            <w:tcW w:w="0" w:type="dxa"/>
            <w:vAlign w:val="bottom"/>
          </w:tcPr>
          <w:p>
            <w:pPr>
              <w:spacing w:after="0"/>
              <w:rPr>
                <w:sz w:val="1"/>
                <w:szCs w:val="1"/>
                <w:color w:val="auto"/>
              </w:rPr>
            </w:pPr>
          </w:p>
        </w:tc>
      </w:tr>
      <w:tr>
        <w:trPr>
          <w:trHeight w:val="21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Deferred debt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3,349.1</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During the fourth quarter of 2023, the Company paid the remaining principal balance of the Variable % Notes Due December 30, 2024.</w:t>
      </w:r>
    </w:p>
    <w:p>
      <w:pPr>
        <w:ind w:right="440" w:firstLine="8"/>
        <w:spacing w:after="0" w:line="278" w:lineRule="auto"/>
        <w:tabs>
          <w:tab w:leader="none" w:pos="145" w:val="left"/>
        </w:tabs>
        <w:numPr>
          <w:ilvl w:val="0"/>
          <w:numId w:val="20"/>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Company's production financing facilities were assumed by Lionsgate effective upon the closing of the sale of the eOne Film and TV business in the fourth quarter of 2023 and were recorded in liabilities held for sale as of October 1, 2023. See Note 3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2034 Notes</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May 2024, the Company issued an aggregate of $500.0 million of senior unsecured debt securities that bear a fixed interest rate of 6.05% due 2034 (the "2034 Notes"). In connection with the issuance of the 2034 Notes, the 2034 Notes were issued with an original issuance discount of $1.4 million and the Company capitalized $5.3 million of debt issuance costs. The original issuance discount and debt issuance costs will be amortized over the term of the 2034 Notes.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Other Financing Arrangements</w:t>
      </w:r>
    </w:p>
    <w:p>
      <w:pPr>
        <w:spacing w:after="0" w:line="3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The Company's third amended and restated revolving credit facility with Bank of America, as administrative agent, swing line lender, a letter of credit issuer and a lender and certain other financial institutions as lenders thereto (the "Amended Revolving Credit Facility") provides the Company with commitments having a maximum aggregate principal amount of $1.25 billion. The Amended Revolving Credit Agreement contains certain financial covenants setting forth leverage and coverage requirements, and certain other limitations typical of an investment grade facility, including with respect to liens, mergers and incurrence of indebtedness. It also provides for a potential additional incremental commitment increase of up to $500.0 million subject to agreement of the lenders.</w:t>
      </w:r>
    </w:p>
    <w:p>
      <w:pPr>
        <w:spacing w:after="0" w:line="2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also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The amount of obligations confirmed under the program that remain unpaid by the Company were $118.7 million, $105.7 million, and $43.3 million as of September 29, 2024, October 1, 2023 and December 31, 2023, respectively. These obligations are presented within Accounts payable in our Consolidated Balance Sheets. The activity related to this program is reflected within the operating activities section of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9" w:name="page20"/>
    <w:bookmarkEnd w:id="19"/>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 in Productions and Investments in Acquired Content Rights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title basis and any portion of the unamortized amount that appears not to be recoverable from future net revenues is expensed as part of program cost amortization during the period the loss becomes evident.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unamortized investments in productions and investments in acquired content rights consisted of the following at September 29,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2023, and December 31, 2023:</w:t>
      </w: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400" w:type="dxa"/>
            <w:vAlign w:val="bottom"/>
          </w:tcPr>
          <w:p>
            <w:pPr>
              <w:spacing w:after="0"/>
              <w:rPr>
                <w:sz w:val="16"/>
                <w:szCs w:val="16"/>
                <w:color w:val="auto"/>
              </w:rPr>
            </w:pPr>
          </w:p>
        </w:tc>
        <w:tc>
          <w:tcPr>
            <w:tcW w:w="18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340" w:type="dxa"/>
            <w:vAlign w:val="bottom"/>
          </w:tcPr>
          <w:p>
            <w:pPr>
              <w:spacing w:after="0"/>
              <w:rPr>
                <w:sz w:val="16"/>
                <w:szCs w:val="16"/>
                <w:color w:val="auto"/>
              </w:rPr>
            </w:pPr>
          </w:p>
        </w:tc>
        <w:tc>
          <w:tcPr>
            <w:tcW w:w="18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3220" w:type="dxa"/>
            <w:vAlign w:val="bottom"/>
            <w:tcBorders>
              <w:bottom w:val="single" w:sz="8" w:color="auto"/>
            </w:tcBorders>
            <w:gridSpan w:val="5"/>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Investment in Films and Television Programs: (1)</w:t>
            </w:r>
          </w:p>
        </w:tc>
        <w:tc>
          <w:tcPr>
            <w:tcW w:w="1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auto"/>
              </w:rPr>
              <w:t>Individual Monetization</w:t>
            </w: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net of amortization</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Completed and not released</w:t>
            </w:r>
          </w:p>
        </w:tc>
        <w:tc>
          <w:tcPr>
            <w:tcW w:w="34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production</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3"/>
        </w:trPr>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Pre-production</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2"/>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gridSpan w:val="5"/>
          </w:tcPr>
          <w:p>
            <w:pPr>
              <w:spacing w:after="0" w:line="155" w:lineRule="exact"/>
              <w:rPr>
                <w:sz w:val="20"/>
                <w:szCs w:val="20"/>
                <w:color w:val="auto"/>
              </w:rPr>
            </w:pPr>
            <w:r>
              <w:rPr>
                <w:rFonts w:ascii="Times New Roman" w:cs="Times New Roman" w:eastAsia="Times New Roman" w:hAnsi="Times New Roman"/>
                <w:sz w:val="16"/>
                <w:szCs w:val="16"/>
                <w:color w:val="auto"/>
              </w:rPr>
              <w:t>Film/TV Group Monetization</w:t>
            </w:r>
          </w:p>
        </w:tc>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net of amortization</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 production</w:t>
            </w:r>
          </w:p>
        </w:tc>
        <w:tc>
          <w:tcPr>
            <w:tcW w:w="34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156"/>
        </w:trPr>
        <w:tc>
          <w:tcPr>
            <w:tcW w:w="20" w:type="dxa"/>
            <w:vAlign w:val="bottom"/>
          </w:tcPr>
          <w:p>
            <w:pPr>
              <w:spacing w:after="0"/>
              <w:rPr>
                <w:sz w:val="13"/>
                <w:szCs w:val="13"/>
                <w:color w:val="auto"/>
              </w:rPr>
            </w:pPr>
          </w:p>
        </w:tc>
        <w:tc>
          <w:tcPr>
            <w:tcW w:w="4340" w:type="dxa"/>
            <w:vAlign w:val="bottom"/>
            <w:gridSpan w:val="6"/>
          </w:tcPr>
          <w:p>
            <w:pPr>
              <w:spacing w:after="0" w:line="155" w:lineRule="exact"/>
              <w:rPr>
                <w:sz w:val="20"/>
                <w:szCs w:val="20"/>
                <w:color w:val="auto"/>
              </w:rPr>
            </w:pPr>
            <w:r>
              <w:rPr>
                <w:rFonts w:ascii="Times New Roman" w:cs="Times New Roman" w:eastAsia="Times New Roman" w:hAnsi="Times New Roman"/>
                <w:sz w:val="16"/>
                <w:szCs w:val="16"/>
                <w:color w:val="auto"/>
              </w:rPr>
              <w:t>Investment in Other Programming</w:t>
            </w:r>
          </w:p>
        </w:tc>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 net of amortization</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Completed and not released</w:t>
            </w:r>
          </w:p>
        </w:tc>
        <w:tc>
          <w:tcPr>
            <w:tcW w:w="34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production</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Pre-production</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0"/>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2"/>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Total Program Investments</w:t>
            </w: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right="100" w:firstLine="8"/>
        <w:spacing w:after="0" w:line="212" w:lineRule="auto"/>
        <w:tabs>
          <w:tab w:leader="none" w:pos="181" w:val="left"/>
        </w:tabs>
        <w:numPr>
          <w:ilvl w:val="0"/>
          <w:numId w:val="22"/>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i w:val="1"/>
          <w:iCs w:val="1"/>
          <w:color w:val="auto"/>
        </w:rPr>
        <w:t>Investments in productions and investments in acquired content totaling $734.8 million were removed from the Company's balance sheet as of December 31, 2023, in connection with the sale of the eOne Film and TV business completed on December 27, 2023. See Note 3 for additional information.</w:t>
      </w:r>
    </w:p>
    <w:p>
      <w:pPr>
        <w:spacing w:after="0" w:line="22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Company's program cost amortization related to released programming during the three and nine months ended September 29, 2024 and October 1, 2023,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96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48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9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r>
      <w:tr>
        <w:trPr>
          <w:trHeight w:val="214"/>
        </w:trPr>
        <w:tc>
          <w:tcPr>
            <w:tcW w:w="4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production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content</w:t>
            </w: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37"/>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program cost amortization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0" w:name="page21"/>
    <w:bookmarkEnd w:id="20"/>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effective tax rate ("ETR") was 23.1% for the three months ended September 29, 2024, and 20.8% for the three months ended October 1, 2023. The following items caused the third quarter ETR in 2024 to be different from the third quarter 2023 ETR:</w:t>
      </w:r>
    </w:p>
    <w:p>
      <w:pPr>
        <w:spacing w:after="0" w:line="189" w:lineRule="exact"/>
        <w:rPr>
          <w:sz w:val="20"/>
          <w:szCs w:val="20"/>
          <w:color w:val="auto"/>
        </w:rPr>
      </w:pPr>
    </w:p>
    <w:p>
      <w:pPr>
        <w:ind w:left="660" w:right="2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29, 2024 the Company recorded a discrete tax expense of $1.1 million, primarily associated with the interest accruals on uncertain tax positions.</w:t>
      </w:r>
    </w:p>
    <w:p>
      <w:pPr>
        <w:spacing w:after="0" w:line="18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October 1, 2023 the Company recorded a discrete tax benefit of $104.4 million, primarily associated with the loss on assets held for sale.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ETR was 24.1% for the nine months ended September 29, 2024, and 8.0% for the nine months ended October 1, 2023. The following items caused the year-to-date ETR in 2024 to be significantly different from the 2023 year-to-date ETR:</w:t>
      </w:r>
    </w:p>
    <w:p>
      <w:pPr>
        <w:spacing w:after="0" w:line="189" w:lineRule="exact"/>
        <w:rPr>
          <w:sz w:val="20"/>
          <w:szCs w:val="20"/>
          <w:color w:val="auto"/>
        </w:rPr>
      </w:pPr>
    </w:p>
    <w:p>
      <w:pPr>
        <w:ind w:left="660" w:right="180" w:hanging="328"/>
        <w:spacing w:after="0" w:line="266" w:lineRule="auto"/>
        <w:tabs>
          <w:tab w:leader="none" w:pos="6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29, 2024, the Company recorded unfavorable adjustments to the 2023 Loss on Sale of the Film &amp; TV reporting unit of $24.4 million with no tax benefit. The Company also recorded a net discrete tax expense of $1.8 million, primarily associated with stock-based compensation.</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October 1, 2023, the Company recorded an impairment of goodwill related to the Film and TV reporting unit of</w:t>
      </w:r>
    </w:p>
    <w:p>
      <w:pPr>
        <w:spacing w:after="0" w:line="27" w:lineRule="exact"/>
        <w:rPr>
          <w:rFonts w:ascii="Times New Roman" w:cs="Times New Roman" w:eastAsia="Times New Roman" w:hAnsi="Times New Roman"/>
          <w:sz w:val="18"/>
          <w:szCs w:val="18"/>
          <w:color w:val="auto"/>
        </w:rPr>
      </w:pPr>
    </w:p>
    <w:p>
      <w:pPr>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$231.2 million with no tax benefit. The Company also recorded a net discrete tax benefit of $113.3 million, exclusive of the goodwill impairment, primarily associated with tax benefits on the impairment of trade names in the Film &amp; TV reporting unit in the second quarter and loss on assets held for sale of $473.0 million in the third quarter.</w:t>
      </w:r>
    </w:p>
    <w:p>
      <w:pPr>
        <w:spacing w:after="0" w:line="200" w:lineRule="exact"/>
        <w:rPr>
          <w:rFonts w:ascii="Times New Roman" w:cs="Times New Roman" w:eastAsia="Times New Roman" w:hAnsi="Times New Roman"/>
          <w:sz w:val="18"/>
          <w:szCs w:val="18"/>
          <w:color w:val="auto"/>
        </w:rPr>
      </w:pPr>
    </w:p>
    <w:p>
      <w:pPr>
        <w:spacing w:after="0" w:line="25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at fair value. The fair value hierarchy consists of three levels:</w:t>
      </w:r>
    </w:p>
    <w:p>
      <w:pPr>
        <w:spacing w:after="0" w:line="25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values are based on quoted market prices in active markets for identical assets or liabilities that the entity has the ability to access;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fair values are those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fair values are based on inputs that are supported by little or no market activity and that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21" w:name="page22"/>
    <w:bookmarkEnd w:id="21"/>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29, 2024, October 1, 2023 and December 31, 2023, the Company had the following assets and liabilities measured at fair value in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(excluding assets for which the fair value is measured using net asset value per share):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Quoted</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Prices in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Active</w:t>
            </w:r>
          </w:p>
        </w:tc>
        <w:tc>
          <w:tcPr>
            <w:tcW w:w="18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for</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Fair</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Identical</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Observable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55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 2024</w:t>
            </w:r>
          </w:p>
        </w:tc>
        <w:tc>
          <w:tcPr>
            <w:tcW w:w="8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489.3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493.3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Option agreement</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9"/>
              </w:rPr>
              <w:t>October 1, 2023</w:t>
            </w:r>
          </w:p>
        </w:tc>
        <w:tc>
          <w:tcPr>
            <w:tcW w:w="4480" w:type="dxa"/>
            <w:vAlign w:val="bottom"/>
            <w:tcBorders>
              <w:bottom w:val="single" w:sz="8" w:color="CCEEFF"/>
            </w:tcBorders>
            <w:gridSpan w:val="3"/>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Derivatives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Derivatives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 agreement</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Option agreement</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8"/>
          <w:szCs w:val="18"/>
          <w:color w:val="auto"/>
        </w:rPr>
        <w:t>At September 29, 2024, the Company held $489.3 million of U.S. Treasury bills which are classified as held-to maturity and carried at amortized cost, and were recorded in Short-term investments in the Company's Consolidated Balance Sheet. This amount reflects the proceeds from the Company’s</w:t>
      </w:r>
    </w:p>
    <w:p>
      <w:pPr>
        <w:spacing w:after="0" w:line="1"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18"/>
          <w:szCs w:val="18"/>
          <w:color w:val="auto"/>
        </w:rPr>
        <w:t>$500 million debt offering completed in May 2024, which proceeds, together with available cash, are expected to be used to repay indebtedness of the Company due in November 2024.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2" w:name="page23"/>
    <w:bookmarkEnd w:id="22"/>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5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Company's derivatives primarily consist of foreign currency forward and option contracts. The Company uses current forward rates of the respective foreign currencies to measure the fair value of these contracts. There were no changes in these valuation techniques during the three and nine months ended September 29, 2024. There were no material changes to fair value measurements of the Company's financial instruments which use significant unobservable inputs (Level 3) for three and nine months ended September 29, 2024 and October 1,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Measurements</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short-term borrowings, accounts payable and certain Accrued liabilities. At September 29, 2024, October 1, 2023 and December 31, 2023, the carrying cost of these instruments approximated their fair value. The Company's financial instruments at September 29, 2024, October 1, 2023 and December 31, 2023 also include certain assets and liabilities measured at fair value, as described above. See Note 8 for the fair value of the Company's outstanding debt.</w:t>
      </w:r>
    </w:p>
    <w:p>
      <w:pPr>
        <w:spacing w:after="0" w:line="212"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Financial Instruments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Hasbro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and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29"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All of the Company's designated foreign currency forward contracts are considered to be cash flow hedges. These instruments hedge a portion of the Company's currency requirements associated with anticipated inventory purchases, product sales and other cross-border transactions, primarily for the remainder of 2024, and into 2025.</w:t>
      </w:r>
    </w:p>
    <w:p>
      <w:pPr>
        <w:spacing w:after="0" w:line="21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At September 29, 2024, October 1, 2023 and December 31, 2023, the notional amounts and fair values of the Company's foreign currency forward contracts designated as cash flow hedging instruments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October 1, 2023</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Hedged transaction</w:t>
            </w:r>
          </w:p>
        </w:tc>
        <w:tc>
          <w:tcPr>
            <w:tcW w:w="240" w:type="dxa"/>
            <w:vAlign w:val="bottom"/>
          </w:tcPr>
          <w:p>
            <w:pPr>
              <w:spacing w:after="0"/>
              <w:rPr>
                <w:sz w:val="13"/>
                <w:szCs w:val="13"/>
                <w:color w:val="auto"/>
              </w:rPr>
            </w:pPr>
          </w:p>
        </w:tc>
        <w:tc>
          <w:tcPr>
            <w:tcW w:w="118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90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92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280" w:type="dxa"/>
            <w:vAlign w:val="bottom"/>
          </w:tcPr>
          <w:p>
            <w:pPr>
              <w:spacing w:after="0"/>
              <w:rPr>
                <w:sz w:val="13"/>
                <w:szCs w:val="13"/>
                <w:color w:val="auto"/>
              </w:rPr>
            </w:pPr>
          </w:p>
        </w:tc>
        <w:tc>
          <w:tcPr>
            <w:tcW w:w="1020" w:type="dxa"/>
            <w:vAlign w:val="bottom"/>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5"/>
                <w:szCs w:val="15"/>
                <w:color w:val="auto"/>
              </w:rPr>
            </w:pPr>
          </w:p>
        </w:tc>
        <w:tc>
          <w:tcPr>
            <w:tcW w:w="1020" w:type="dxa"/>
            <w:vAlign w:val="bottom"/>
          </w:tcPr>
          <w:p>
            <w:pPr>
              <w:jc w:val="right"/>
              <w:ind w:right="379"/>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purchases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Royalties and Other</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(0.9)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(0.4)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3" w:name="page24"/>
    <w:bookmarkEnd w:id="23"/>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September 29, 2024, October 1, 2023 and December 31, 2023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w:t>
            </w: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1,</w:t>
            </w:r>
          </w:p>
        </w:tc>
        <w:tc>
          <w:tcPr>
            <w:tcW w:w="20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shd w:val="clear" w:color="auto" w:fill="CCEEFF"/>
          </w:tcPr>
          <w:p>
            <w:pPr>
              <w:spacing w:after="0"/>
              <w:rPr>
                <w:sz w:val="15"/>
                <w:szCs w:val="15"/>
                <w:color w:val="auto"/>
              </w:rPr>
            </w:pPr>
          </w:p>
        </w:tc>
        <w:tc>
          <w:tcPr>
            <w:tcW w:w="6380" w:type="dxa"/>
            <w:vAlign w:val="bottom"/>
            <w:gridSpan w:val="5"/>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9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3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20" w:type="dxa"/>
            <w:vAlign w:val="bottom"/>
          </w:tcPr>
          <w:p>
            <w:pPr>
              <w:spacing w:after="0"/>
              <w:rPr>
                <w:sz w:val="18"/>
                <w:szCs w:val="18"/>
                <w:color w:val="auto"/>
              </w:rPr>
            </w:pPr>
          </w:p>
        </w:tc>
        <w:tc>
          <w:tcPr>
            <w:tcW w:w="63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unrealized gains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638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Other assets</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3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3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unrealized gains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638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51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2"/>
        </w:trPr>
        <w:tc>
          <w:tcPr>
            <w:tcW w:w="20" w:type="dxa"/>
            <w:vAlign w:val="bottom"/>
          </w:tcPr>
          <w:p>
            <w:pPr>
              <w:spacing w:after="0"/>
              <w:rPr>
                <w:sz w:val="18"/>
                <w:szCs w:val="18"/>
                <w:color w:val="auto"/>
              </w:rPr>
            </w:pPr>
          </w:p>
        </w:tc>
        <w:tc>
          <w:tcPr>
            <w:tcW w:w="63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unrealized losses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638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Other liabilities</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3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3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unrealized losses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Net gains (losses) on cash flow hedging activities have been reclassified from other comprehensive earnings (loss) to net earnings for the three and nine months ended September 29, 2024 and October 1, 2023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8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r>
      <w:tr>
        <w:trPr>
          <w:trHeight w:val="214"/>
        </w:trPr>
        <w:tc>
          <w:tcPr>
            <w:tcW w:w="2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274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Statements of Operations Classification</w:t>
            </w:r>
          </w:p>
        </w:tc>
        <w:tc>
          <w:tcPr>
            <w:tcW w:w="20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center"/>
              <w:ind w:left="89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ind w:left="879"/>
              <w:spacing w:after="0"/>
              <w:rPr>
                <w:sz w:val="20"/>
                <w:szCs w:val="20"/>
                <w:color w:val="auto"/>
              </w:rPr>
            </w:pPr>
            <w:r>
              <w:rPr>
                <w:rFonts w:ascii="Times New Roman" w:cs="Times New Roman" w:eastAsia="Times New Roman" w:hAnsi="Times New Roman"/>
                <w:sz w:val="16"/>
                <w:szCs w:val="16"/>
                <w:color w:val="auto"/>
                <w:w w:val="99"/>
              </w:rPr>
              <w:t>0.5</w:t>
            </w:r>
          </w:p>
        </w:tc>
      </w:tr>
      <w:tr>
        <w:trPr>
          <w:trHeight w:val="21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w w:val="97"/>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center"/>
              <w:ind w:left="89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center"/>
              <w:ind w:left="879"/>
              <w:spacing w:after="0"/>
              <w:rPr>
                <w:sz w:val="20"/>
                <w:szCs w:val="20"/>
                <w:color w:val="auto"/>
              </w:rPr>
            </w:pPr>
            <w:r>
              <w:rPr>
                <w:rFonts w:ascii="Times New Roman" w:cs="Times New Roman" w:eastAsia="Times New Roman" w:hAnsi="Times New Roman"/>
                <w:sz w:val="16"/>
                <w:szCs w:val="16"/>
                <w:color w:val="auto"/>
                <w:w w:val="99"/>
              </w:rPr>
              <w:t>1.7</w:t>
            </w: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realized (losses) gains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center"/>
              <w:ind w:left="89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center"/>
              <w:ind w:left="879"/>
              <w:spacing w:after="0"/>
              <w:rPr>
                <w:sz w:val="20"/>
                <w:szCs w:val="20"/>
                <w:color w:val="auto"/>
              </w:rPr>
            </w:pPr>
            <w:r>
              <w:rPr>
                <w:rFonts w:ascii="Times New Roman" w:cs="Times New Roman" w:eastAsia="Times New Roman" w:hAnsi="Times New Roman"/>
                <w:sz w:val="16"/>
                <w:szCs w:val="16"/>
                <w:color w:val="auto"/>
                <w:w w:val="99"/>
              </w:rPr>
              <w:t>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Undesignated Hedges</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As of September 29, 2024, October 1, 2023 and December 31, 2023, the total notional amounts of the Company's undesignated derivative instruments were $267.4 million, $807.5 million, and $340.5 million, respectively.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At September 29, 2024, October 1, 2023 and December 31, 2023, the fair values of the Company's undesignated derivative financial instruments were recorded in the Consolidated Balance Sheets as follows: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60" w:type="dxa"/>
            <w:vAlign w:val="bottom"/>
          </w:tcPr>
          <w:p>
            <w:pPr>
              <w:spacing w:after="0"/>
              <w:rPr>
                <w:sz w:val="14"/>
                <w:szCs w:val="14"/>
                <w:color w:val="auto"/>
              </w:rPr>
            </w:pPr>
          </w:p>
        </w:tc>
        <w:tc>
          <w:tcPr>
            <w:tcW w:w="1380" w:type="dxa"/>
            <w:vAlign w:val="bottom"/>
            <w:gridSpan w:val="2"/>
          </w:tcPr>
          <w:p>
            <w:pPr>
              <w:ind w:left="140"/>
              <w:spacing w:after="0" w:line="165"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200" w:type="dxa"/>
            <w:vAlign w:val="bottom"/>
          </w:tcPr>
          <w:p>
            <w:pPr>
              <w:spacing w:after="0"/>
              <w:rPr>
                <w:sz w:val="14"/>
                <w:szCs w:val="14"/>
                <w:color w:val="auto"/>
              </w:rPr>
            </w:pPr>
          </w:p>
        </w:tc>
        <w:tc>
          <w:tcPr>
            <w:tcW w:w="1320" w:type="dxa"/>
            <w:vAlign w:val="bottom"/>
          </w:tcPr>
          <w:p>
            <w:pPr>
              <w:jc w:val="right"/>
              <w:ind w:right="199"/>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8"/>
        </w:trPr>
        <w:tc>
          <w:tcPr>
            <w:tcW w:w="20" w:type="dxa"/>
            <w:vAlign w:val="bottom"/>
            <w:shd w:val="clear" w:color="auto" w:fill="CCEEFF"/>
          </w:tcPr>
          <w:p>
            <w:pPr>
              <w:spacing w:after="0"/>
              <w:rPr>
                <w:sz w:val="15"/>
                <w:szCs w:val="15"/>
                <w:color w:val="auto"/>
              </w:rPr>
            </w:pPr>
          </w:p>
        </w:tc>
        <w:tc>
          <w:tcPr>
            <w:tcW w:w="638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3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unrealized gains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63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20" w:type="dxa"/>
            <w:vAlign w:val="bottom"/>
            <w:tcBorders>
              <w:bottom w:val="single" w:sz="8" w:color="CCEEFF"/>
            </w:tcBorders>
          </w:tcPr>
          <w:p>
            <w:pPr>
              <w:spacing w:after="0"/>
              <w:rPr>
                <w:sz w:val="18"/>
                <w:szCs w:val="18"/>
                <w:color w:val="auto"/>
              </w:rPr>
            </w:pPr>
          </w:p>
        </w:tc>
        <w:tc>
          <w:tcPr>
            <w:tcW w:w="6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unrealized losses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recorded a net gain of $4.5 million and a net gain of $8.7 million for three and nine months ended September 29, 2024, respectively, and net gains of $15.1 million and $26.4 million, three and nine months ended October 1, 2023, respectively, on these instruments to Other (income) expense, net relating to the change in fair value of such derivatives, substantially offsetting gains and losses from the change in fair value of intercompany loans to which the contracts relate.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related to the Company's derivative financial instruments (see Notes 6 and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25" w:name="page26"/>
    <w:bookmarkEnd w:id="25"/>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3" w:lineRule="exact"/>
        <w:rPr>
          <w:sz w:val="20"/>
          <w:szCs w:val="20"/>
          <w:color w:val="auto"/>
        </w:rPr>
      </w:pPr>
    </w:p>
    <w:p>
      <w:pPr>
        <w:ind w:left="360" w:hanging="352"/>
        <w:spacing w:after="0"/>
        <w:tabs>
          <w:tab w:leader="none" w:pos="3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Actions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2018 and 2020, the Company took certain restructuring actions including headcount reduction aimed at right-sizing the Company’s cost-structure and integration actions related to the acquisition of eOne. As of September 29, 2024, the Company had a remaining balance of $0.6 million in severance and other employee expenses related to these programs included within Other accrued liabilities in the Consolidated Balance Sheets, after making payments of $1.9 million during the nine months ended September 29, 2024. Substantially all of the remaining cash payments related to these programs are expected to be made by the end of 2024.</w:t>
      </w: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2022 and 2023, Hasbro implemented its Operational Excellence program ("the Program"), an ongoing enterprise-wide initiative intended to improve our business through programs that include targeted cost-savings, supply chain transformation and certain other restructuring actions designed to drive growth and enhance shareholder value. The Company's organizational structure changes have resulted and will further result in workforce reductions as well as the reallocation of people and resources, which will include voluntary early retirement for certain groups of employees and additional involuntary reduction in employees ("Additional Actions"). The Company currently anticipates that the Additional Actions will be substantially complete over the next 18 to 24 months.</w:t>
      </w:r>
    </w:p>
    <w:p>
      <w:pPr>
        <w:spacing w:after="0" w:line="21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Charges related to the Program were recorded in Selling, distribution and administration within Corporate and Other. Going forward, the Company may implement further cost-saving initiatives under the Program that could result in additional restructuring charges including severance and other employee charges.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29, 2024, the liability balance associated with the Program related restructuring actions consisted of severance payments recorded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in the Consolidated Balance Sheets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Operational Excellence</w:t>
            </w:r>
          </w:p>
        </w:tc>
        <w:tc>
          <w:tcPr>
            <w:tcW w:w="160" w:type="dxa"/>
            <w:vAlign w:val="bottom"/>
          </w:tcPr>
          <w:p>
            <w:pPr>
              <w:spacing w:after="0"/>
              <w:rPr>
                <w:sz w:val="13"/>
                <w:szCs w:val="13"/>
                <w:color w:val="auto"/>
              </w:rPr>
            </w:pPr>
          </w:p>
        </w:tc>
        <w:tc>
          <w:tcPr>
            <w:tcW w:w="13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20" w:type="dxa"/>
            <w:vAlign w:val="bottom"/>
          </w:tcPr>
          <w:p>
            <w:pPr>
              <w:spacing w:after="0"/>
              <w:rPr>
                <w:sz w:val="13"/>
                <w:szCs w:val="13"/>
                <w:color w:val="auto"/>
              </w:rPr>
            </w:pPr>
          </w:p>
        </w:tc>
        <w:tc>
          <w:tcPr>
            <w:tcW w:w="118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459"/>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459"/>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Charges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restructuring charges incurred to date under the Program, along with the estimated charges expected to be incurred on approved initiatives under the Program as of September 29,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Operational Excellence</w:t>
            </w:r>
          </w:p>
        </w:tc>
        <w:tc>
          <w:tcPr>
            <w:tcW w:w="24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8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Charges incurred to date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r>
      <w:tr>
        <w:trPr>
          <w:trHeight w:val="213"/>
        </w:trPr>
        <w:tc>
          <w:tcPr>
            <w:tcW w:w="20" w:type="dxa"/>
            <w:vAlign w:val="bottom"/>
            <w:tcBorders>
              <w:bottom w:val="single" w:sz="8" w:color="CCEEFF"/>
            </w:tcBorders>
          </w:tcPr>
          <w:p>
            <w:pPr>
              <w:spacing w:after="0"/>
              <w:rPr>
                <w:sz w:val="18"/>
                <w:szCs w:val="18"/>
                <w:color w:val="auto"/>
              </w:rPr>
            </w:pPr>
          </w:p>
        </w:tc>
        <w:tc>
          <w:tcPr>
            <w:tcW w:w="10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Estimated charges to be incurred on approved initiatives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10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expected charges on approved initiatives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5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Contingencies – The Company is subject to claims related to product and other commercial matters.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spacing w:after="0" w:line="20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Litigation and Other Claims – The Company from time to time may be subject to lawsuits and other claims related to product, commercial, employee, environmental and other matters in the normal course of business.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spacing w:after="0" w:line="2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Environmental Liabilities - The Company monitors for any estimated environmental contingencies related to its current physical locations and former owned or leased facilities in which it is responsible for environmental matters. The Company has</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6" w:name="page27"/>
    <w:bookmarkEnd w:id="26"/>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estimated a $31.1 million environmental liability related to a previously owned manufacturing facility (environmental liability assumed as part of a historical acquisition), in which the Company is solely responsible for the mitigation and remediation activities.</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Contractual obligations and commercial commitments, as detailed in the Company's 2023 Form 10-K, did not materially change outside of certain payments made in the normal course of business, except as disclosed above and as disclosed in Note 8.</w:t>
      </w:r>
    </w:p>
    <w:p>
      <w:pPr>
        <w:spacing w:after="0" w:line="185"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5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Hasbro is a game, toy, and intellectual property company with a broad portfolio of brands and entertainment content spanning toys, games, licensed products ranging from traditional to digital, as well as film and television entertainment. The Company's reportable segments are Consumer Products, Wizards of the Coast and Digital Gaming, Entertainment and Corporate and Other.</w:t>
      </w:r>
    </w:p>
    <w:p>
      <w:pPr>
        <w:spacing w:after="0" w:line="203" w:lineRule="exact"/>
        <w:rPr>
          <w:sz w:val="20"/>
          <w:szCs w:val="20"/>
          <w:color w:val="auto"/>
        </w:rPr>
      </w:pPr>
    </w:p>
    <w:p>
      <w:pPr>
        <w:ind w:left="660" w:right="12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brands.</w:t>
      </w:r>
    </w:p>
    <w:p>
      <w:pPr>
        <w:spacing w:after="0" w:line="206"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Wizards of the Coast and Digital Gaming business engages in the promotion of the Company's brands through the development of trading card, role-playing and digital game experiences based on Hasbro and Wizards of the Coast games. Additionally, we license certain of our brands to other third-party digital game developers who transform Hasbro brand-based characters and other intellectual properties, into digital gaming experiences.</w:t>
      </w:r>
    </w:p>
    <w:p>
      <w:pPr>
        <w:spacing w:after="0" w:line="206"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Entertainment segment engages in the development and production of Hasbro-branded entertainment content including film, television, children's programming, digital content and live entertainment focused on Hasbro-owned properties.</w:t>
      </w:r>
    </w:p>
    <w:p>
      <w:pPr>
        <w:spacing w:after="0" w:line="18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provides management and administrative services to the Company's principal reporting segments described above and consists of unallocated corporate expenses and administrative costs and activities not considered when evaluating segment performance as well as certain assets benefiting more than one segment.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Information by segment and a reconciliation to reported amounts for the three and nine months ended September 29, 2024 and October 1, 2023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98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8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r>
      <w:tr>
        <w:trPr>
          <w:trHeight w:val="214"/>
        </w:trPr>
        <w:tc>
          <w:tcPr>
            <w:tcW w:w="4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Consumer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2,132.5</w:t>
            </w:r>
          </w:p>
        </w:tc>
      </w:tr>
      <w:tr>
        <w:trPr>
          <w:trHeight w:val="21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1,094.4</w:t>
            </w:r>
          </w:p>
        </w:tc>
      </w:tr>
      <w:tr>
        <w:trPr>
          <w:trHeight w:val="21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Entertainment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w:t>
            </w:r>
          </w:p>
        </w:tc>
      </w:tr>
      <w:tr>
        <w:trPr>
          <w:trHeight w:val="216"/>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and Other</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3,033.9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3,714.4</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revenues: (1)</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r>
      <w:tr>
        <w:trPr>
          <w:trHeight w:val="21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r>
      <w:tr>
        <w:trPr>
          <w:trHeight w:val="21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Entertainment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13"/>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Corporate and Other</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(402.8)</w:t>
            </w: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intercompany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(loss):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Consumer Products (2)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1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w:t>
            </w:r>
          </w:p>
        </w:tc>
      </w:tr>
      <w:tr>
        <w:trPr>
          <w:trHeight w:val="213"/>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Entertainment (3)</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(801.4)</w:t>
            </w:r>
          </w:p>
        </w:tc>
      </w:tr>
      <w:tr>
        <w:trPr>
          <w:trHeight w:val="21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and Other (3) (4)</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07"/>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profit (loss)</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non-operating expense (income)</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(463.9)</w:t>
            </w: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220" w:hanging="212"/>
        <w:spacing w:after="0"/>
        <w:tabs>
          <w:tab w:leader="none" w:pos="22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revenues from transactions with other operating segments that are included in the operating profit (loss) of the segment.</w:t>
      </w:r>
    </w:p>
    <w:p>
      <w:pPr>
        <w:spacing w:after="0" w:line="244" w:lineRule="exact"/>
        <w:rPr>
          <w:rFonts w:ascii="Times New Roman" w:cs="Times New Roman" w:eastAsia="Times New Roman" w:hAnsi="Times New Roman"/>
          <w:sz w:val="14"/>
          <w:szCs w:val="14"/>
          <w:i w:val="1"/>
          <w:iCs w:val="1"/>
          <w:color w:val="auto"/>
        </w:rPr>
      </w:pPr>
    </w:p>
    <w:p>
      <w:pPr>
        <w:ind w:right="120" w:firstLine="8"/>
        <w:spacing w:after="0" w:line="276" w:lineRule="auto"/>
        <w:tabs>
          <w:tab w:leader="none" w:pos="204"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the nine months ended September 29, 2024, the Company recorded two non-recurring prior year adjustments: (i) a $31.1 million expense related to historical environmental exposures, and (ii) a $26.7 million benefit related to over-accrual of vendor commitment liabilities. See Note 1 for further information. Both of these originally related to the Consumer Products segment; however, because the non-recurring nature of these adjustments are related to historical periods and not associated with the on-going future operations of the Consumer Products segment, the Company recorded the error corrections within the Corporate and Other segment.</w:t>
      </w:r>
    </w:p>
    <w:p>
      <w:pPr>
        <w:spacing w:after="0" w:line="204" w:lineRule="exact"/>
        <w:rPr>
          <w:rFonts w:ascii="Times New Roman" w:cs="Times New Roman" w:eastAsia="Times New Roman" w:hAnsi="Times New Roman"/>
          <w:sz w:val="14"/>
          <w:szCs w:val="14"/>
          <w:i w:val="1"/>
          <w:iCs w:val="1"/>
          <w:color w:val="auto"/>
        </w:rPr>
      </w:pPr>
    </w:p>
    <w:p>
      <w:pPr>
        <w:ind w:right="100" w:firstLine="8"/>
        <w:spacing w:after="0" w:line="269" w:lineRule="auto"/>
        <w:tabs>
          <w:tab w:leader="none" w:pos="204"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long-term assets, including property, plant and equipment, goodwill and other intangibles, which benefit multiple operating segments, are included in both Entertainment and Corporate and Other. Allocations of certain Corporate and Other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Corporate and Other also includes the elimination of inter-company balance sheet amounts.</w:t>
      </w:r>
    </w:p>
    <w:p>
      <w:pPr>
        <w:spacing w:after="0" w:line="209" w:lineRule="exact"/>
        <w:rPr>
          <w:rFonts w:ascii="Times New Roman" w:cs="Times New Roman" w:eastAsia="Times New Roman" w:hAnsi="Times New Roman"/>
          <w:sz w:val="14"/>
          <w:szCs w:val="14"/>
          <w:i w:val="1"/>
          <w:iCs w:val="1"/>
          <w:color w:val="auto"/>
        </w:rPr>
      </w:pPr>
    </w:p>
    <w:p>
      <w:pPr>
        <w:ind w:right="20" w:firstLine="8"/>
        <w:spacing w:after="0" w:line="266" w:lineRule="auto"/>
        <w:tabs>
          <w:tab w:leader="none" w:pos="204"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Corporate and Other Operating profit (loss) includes Operational Excellence related transformation office and consulting fees of $6.0 million and $18.5 million for the three and nine months ended September 29, 2024, respectively, and $8.4 million and $29.4 million for the three and nine months ended October 1, 2023, respectively, which are recorded within Selling, distribution and administration costs within the Consolidated Statements of Operations. Third party consultants were engaged to assist the Company in performing a comprehensive review of operations and developing a transformation plan designed to support the organization in identifying, realizing, and capturing savings through the identification of organizational initiatives intended to create efficiencies and improve business processes and operations. The consultants assisted in providing benchmark data and are currently assisting with the design of an improved operating model and supply chain function. The Company expects this consulting assistance to conclude within 2024 in line with the transformation plans.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8" w:name="page29"/>
    <w:bookmarkEnd w:id="2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(Dollar and share amounts in tables presented in millions, unless otherwise noted)</w:t>
      </w:r>
    </w:p>
    <w:p>
      <w:pPr>
        <w:spacing w:after="0" w:line="23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the accompanying unaudited consolidated financial statements and the notes thereto included in this Quarterly Report and the audited consolidated financial statements and the notes thereto in the 2023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Hasbro, Inc. ("Hasbro") is a game, toy, and intellectual property company whose mission is to entertain and connect generations of fans through the exhilaration of play and the wonder of storytelling. We are Creating Magic Through Play by delivering engaging brand experiences for global audiences across gaming, consumer products and entertainment, with a portfolio of iconic brands including MAGIC: THE GATHERING, Hasbro Gaming, PLAY-DOH, NERF, TRANSFORMERS, DUNGEONS &amp; DRAGONS, and PEPPA PIG, as well as premier partner brands.</w:t>
      </w:r>
    </w:p>
    <w:p>
      <w:pPr>
        <w:spacing w:after="0" w:line="207"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Hasbro is guided by our purpose to create joy and community for all people around the world, one game, one toy, one story at a time. For the past decade, we have been consistently recognized for our corporate citizenship, including being named one of the 100 Best Corporate Citizens by 3BL Media.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 fiscal year 2023, we embarked upon an ambitious, multi-year transformation guided by our revamped strategy to focus on fewer, bigger and better brands. Since that announcement, we have been able to create efficiencies in our supply chain, improve our inventory position, lower our costs, and reinvest back into the business. In addition, we have strengthened our leadership team with industry veterans and turnaround experts and have focused our strategic investments on our most valuable and profitable franchises across games, toys, licensing and entertainment. This focused strategy also led to the decision to sell certain non-core parts of our business, including the Entertainment One film and television business ("eOne Film and TV") in December 2023, while retaining brand-based created content and the capability to develop and produce entertainment including animation, digital shorts, scripted TV and theatrical films related to core Hasbro IP, as well as our Family Brands business. In addition, during 2023, we made the difficult decision to take additional headcount reductions and accelerate the process of certain organizational structure changes in an effort to strengthen our foundation and position Hasbro for growth.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Quarter and Year to Date Results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During 2024, the Company experienced declines in revenue from $1,503.4 million and $3,714.4 million for the three and nine months ended October 1, 2023, respectively, to $1,281.3 million and $3,033.9 million for the three and nine months ended September 29, 2024, respectively. The decline in revenue for the three months ended September 29, 2024 from three months ended October 1, 2023 is driven primarily by the sale of eOne Film and TV business and by broader industry trends, exited businesses, shifts in product mix, a lighter entertainment slate in the current year, reduced closeout sales in the Consumer Products business, and the decrease in our Wizards of the Coast and Digital Gaming revenues, mainly from the higher digital licensing of </w:t>
      </w:r>
      <w:r>
        <w:rPr>
          <w:rFonts w:ascii="Times New Roman" w:cs="Times New Roman" w:eastAsia="Times New Roman" w:hAnsi="Times New Roman"/>
          <w:sz w:val="18"/>
          <w:szCs w:val="18"/>
          <w:i w:val="1"/>
          <w:iCs w:val="1"/>
          <w:color w:val="auto"/>
        </w:rPr>
        <w:t>Baldur's Gate 3</w:t>
      </w:r>
      <w:r>
        <w:rPr>
          <w:rFonts w:ascii="Times New Roman" w:cs="Times New Roman" w:eastAsia="Times New Roman" w:hAnsi="Times New Roman"/>
          <w:sz w:val="18"/>
          <w:szCs w:val="18"/>
          <w:color w:val="auto"/>
        </w:rPr>
        <w:t xml:space="preserve"> that was launched within the three months ended October 1, 2023 with no comparable releases in 2024. The decline in revenue for the nine months ended September 29, 2024 from nine months ended October 1, 2023is driven primarily by the sale of eOne Film and TV business and by broader industry trends, exited businesses, shifts in product mix, a lighter entertainment slate in the current year, and reduced closeout sales in the Consumer Products business, partially offset by increases in our Wizards of the Coast and Digital Gaming revenues driven by higher digital licensing revenue primarily due to </w:t>
      </w:r>
      <w:r>
        <w:rPr>
          <w:rFonts w:ascii="Times New Roman" w:cs="Times New Roman" w:eastAsia="Times New Roman" w:hAnsi="Times New Roman"/>
          <w:sz w:val="18"/>
          <w:szCs w:val="18"/>
          <w:i w:val="1"/>
          <w:iCs w:val="1"/>
          <w:color w:val="auto"/>
        </w:rPr>
        <w:t xml:space="preserve">MONOPOLY GO! </w:t>
      </w:r>
      <w:r>
        <w:rPr>
          <w:rFonts w:ascii="Times New Roman" w:cs="Times New Roman" w:eastAsia="Times New Roman" w:hAnsi="Times New Roman"/>
          <w:sz w:val="18"/>
          <w:szCs w:val="18"/>
          <w:color w:val="auto"/>
        </w:rPr>
        <w:t>as well as contributions from MAGIC: THE GATHERING. The Company has made strong progress towards its ongoing turnaround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while achieving an operating profit of $301.9 million and $630.2 million during the three and nine months ended September 29, 2024, respectively, as compared to an operating loss of $169.5 million and $340.2 million for the three and nine months ended October 1, 2023, respectively. See the below discussion for the consolidated and segment results of operations.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consolidated results of operations for the three months ended September 29, 2024 and October 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1"/>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60" w:type="dxa"/>
            <w:vAlign w:val="bottom"/>
          </w:tcPr>
          <w:p>
            <w:pPr>
              <w:spacing w:after="0"/>
              <w:rPr>
                <w:sz w:val="18"/>
                <w:szCs w:val="18"/>
                <w:color w:val="auto"/>
              </w:rPr>
            </w:pPr>
          </w:p>
        </w:tc>
        <w:tc>
          <w:tcPr>
            <w:tcW w:w="2840" w:type="dxa"/>
            <w:vAlign w:val="bottom"/>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10"/>
        </w:trPr>
        <w:tc>
          <w:tcPr>
            <w:tcW w:w="49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of Net Revenues</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of Net Revenues</w:t>
            </w:r>
          </w:p>
        </w:tc>
      </w:tr>
      <w:tr>
        <w:trPr>
          <w:trHeight w:val="21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1,503.4</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Cost of sales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Program production cost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Royalties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Advertising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Loss on disposal of business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Selling, distribution and administration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23.4 %</w:t>
            </w:r>
          </w:p>
        </w:tc>
      </w:tr>
      <w:tr>
        <w:trPr>
          <w:trHeight w:val="212"/>
        </w:trPr>
        <w:tc>
          <w:tcPr>
            <w:tcW w:w="4940" w:type="dxa"/>
            <w:vAlign w:val="bottom"/>
            <w:tcBorders>
              <w:top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979.4</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76.4 %</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1,672.9</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111.3 %</w:t>
            </w:r>
          </w:p>
        </w:tc>
      </w:tr>
      <w:tr>
        <w:trPr>
          <w:trHeight w:val="207"/>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profit (loss)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19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(income) expense:</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2"/>
        </w:trPr>
        <w:tc>
          <w:tcPr>
            <w:tcW w:w="4940" w:type="dxa"/>
            <w:vAlign w:val="bottom"/>
            <w:tcBorders>
              <w:top w:val="single" w:sz="8" w:color="CCEEFF"/>
            </w:tcBorders>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0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100" w:type="dxa"/>
            <w:vAlign w:val="bottom"/>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80" w:type="dxa"/>
            <w:vAlign w:val="bottom"/>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noncontrolling interests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attributable to Hasbro, Inc.</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per common share: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44"/>
        </w:trPr>
        <w:tc>
          <w:tcPr>
            <w:tcW w:w="4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r>
        <w:trPr>
          <w:trHeight w:val="190"/>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revenues - </w:t>
      </w:r>
      <w:r>
        <w:rPr>
          <w:rFonts w:ascii="Times New Roman" w:cs="Times New Roman" w:eastAsia="Times New Roman" w:hAnsi="Times New Roman"/>
          <w:sz w:val="18"/>
          <w:szCs w:val="18"/>
          <w:color w:val="auto"/>
        </w:rPr>
        <w:t>Net revenues for the third quarter of 2024 declined 15% to $1,281.3 million from $1,503.4 million for the third quarter of 2023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driven by a $105.7 million, or 86%, decline in the Entertainment driven by the sale of the eOne Film and TV business, a $96.8 million, or 10%, decline in the Consumer Products segment, and a $19.6 million, or 5%, decrease in the Wizards of the Coast and Digital Gaming segment. See the Segment Results discussion below for further details.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revenues by brand portfolio category for the three months ended September 29, 2024 and October 1,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40" w:type="dxa"/>
            <w:vAlign w:val="bottom"/>
            <w:tcBorders>
              <w:bottom w:val="single" w:sz="8" w:color="auto"/>
            </w:tcBorders>
          </w:tcPr>
          <w:p>
            <w:pPr>
              <w:spacing w:after="0"/>
              <w:rPr>
                <w:sz w:val="18"/>
                <w:szCs w:val="18"/>
                <w:color w:val="auto"/>
              </w:rPr>
            </w:pPr>
          </w:p>
        </w:tc>
      </w:tr>
      <w:tr>
        <w:trPr>
          <w:trHeight w:val="159"/>
        </w:trPr>
        <w:tc>
          <w:tcPr>
            <w:tcW w:w="6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Pr>
          <w:p>
            <w:pPr>
              <w:spacing w:after="0"/>
              <w:rPr>
                <w:sz w:val="13"/>
                <w:szCs w:val="13"/>
                <w:color w:val="auto"/>
              </w:rPr>
            </w:pPr>
          </w:p>
        </w:tc>
        <w:tc>
          <w:tcPr>
            <w:tcW w:w="13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64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6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Brands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Partner Brands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Portfolio Brands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63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Non-Hasbro Branded Film &amp; TV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5"/>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ind w:right="240" w:firstLine="8"/>
        <w:spacing w:after="0"/>
        <w:tabs>
          <w:tab w:leader="none" w:pos="132" w:val="left"/>
        </w:tabs>
        <w:numPr>
          <w:ilvl w:val="0"/>
          <w:numId w:val="33"/>
        </w:numPr>
        <w:rPr>
          <w:rFonts w:ascii="Times New Roman" w:cs="Times New Roman" w:eastAsia="Times New Roman" w:hAnsi="Times New Roman"/>
          <w:sz w:val="15"/>
          <w:szCs w:val="15"/>
          <w:i w:val="1"/>
          <w:iCs w:val="1"/>
          <w:color w:val="auto"/>
          <w:vertAlign w:val="superscript"/>
        </w:rPr>
      </w:pPr>
      <w:r>
        <w:rPr>
          <w:rFonts w:ascii="Times New Roman" w:cs="Times New Roman" w:eastAsia="Times New Roman" w:hAnsi="Times New Roman"/>
          <w:sz w:val="11"/>
          <w:szCs w:val="11"/>
          <w:i w:val="1"/>
          <w:iCs w:val="1"/>
          <w:color w:val="auto"/>
        </w:rPr>
        <w:t>Net revenues from the Company's Non-Hasbro-branded Film and TV portfolio were associated with the Company's non-core eOne Film and TV business sold to Lionsgate during the fourth quarter of 2023.</w:t>
      </w:r>
    </w:p>
    <w:p>
      <w:pPr>
        <w:spacing w:after="0" w:line="200" w:lineRule="exact"/>
        <w:rPr>
          <w:sz w:val="20"/>
          <w:szCs w:val="20"/>
          <w:color w:val="auto"/>
        </w:rPr>
      </w:pPr>
    </w:p>
    <w:p>
      <w:pPr>
        <w:spacing w:after="0" w:line="226"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FRANCHISE BRANDS: </w:t>
      </w:r>
      <w:r>
        <w:rPr>
          <w:rFonts w:ascii="Times New Roman" w:cs="Times New Roman" w:eastAsia="Times New Roman" w:hAnsi="Times New Roman"/>
          <w:sz w:val="18"/>
          <w:szCs w:val="18"/>
          <w:color w:val="auto"/>
        </w:rPr>
        <w:t>Net revenues in the Franchise Brands portfolio decreased $69.4 million in the third quarter of 2024, compared to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2023. The net revenue decrease primarily reflects lower net revenues from NERF and DUNGEONS &amp; DRAGONS products, partially offset by higher net revenues from </w:t>
      </w:r>
      <w:r>
        <w:rPr>
          <w:rFonts w:ascii="Times New Roman" w:cs="Times New Roman" w:eastAsia="Times New Roman" w:hAnsi="Times New Roman"/>
          <w:sz w:val="18"/>
          <w:szCs w:val="18"/>
          <w:i w:val="1"/>
          <w:iCs w:val="1"/>
          <w:color w:val="auto"/>
        </w:rPr>
        <w:t>MONOPOLY GO!</w:t>
      </w:r>
      <w:r>
        <w:rPr>
          <w:rFonts w:ascii="Times New Roman" w:cs="Times New Roman" w:eastAsia="Times New Roman" w:hAnsi="Times New Roman"/>
          <w:sz w:val="18"/>
          <w:szCs w:val="18"/>
          <w:color w:val="auto"/>
        </w:rPr>
        <w:t>, along with MAGIC: THE GATHERING products.</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PARTNER BRANDS: </w:t>
      </w:r>
      <w:r>
        <w:rPr>
          <w:rFonts w:ascii="Times New Roman" w:cs="Times New Roman" w:eastAsia="Times New Roman" w:hAnsi="Times New Roman"/>
          <w:sz w:val="18"/>
          <w:szCs w:val="18"/>
          <w:color w:val="auto"/>
        </w:rPr>
        <w:t>Net revenues from the Partner Brands portfolio decreased $38.1 million, or 17%, in the third quarter of 2024, compared to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2023. Within the Partner Brands portfolio, there are a number of brands which are reliant on related entertainment, including television and movie releases. As such, net revenues from Partner Brands fluctuate depending on entertainment popularity, release dates and related product line offerings. Historically these entertainment-based brands experience higher revenues during years in which new content is released in theaters, for broadcast, and on streaming platforms.</w:t>
      </w:r>
    </w:p>
    <w:p>
      <w:pPr>
        <w:spacing w:after="0" w:line="212"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During the third quarter of 2024, Partner Brands net revenue decreases were driven by lower net revenues from the Company's products for STAR WARS and MARVEL which benefited from a broader slate of entertainment releases in prior years without a more recent entertainment release to support revenue in the third quarter of 2024. This was partially offset by higher net revenues from BEY BLADE following the Company's reintroduction of the brand.</w:t>
      </w:r>
    </w:p>
    <w:p>
      <w:pPr>
        <w:spacing w:after="0" w:line="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 xml:space="preserve">Additionally, revenue in the third quarter of 2023 was higher due to the Company's products for INDIANA JONES supported by the June 2023 theatrical release of </w:t>
      </w:r>
      <w:r>
        <w:rPr>
          <w:rFonts w:ascii="Times New Roman" w:cs="Times New Roman" w:eastAsia="Times New Roman" w:hAnsi="Times New Roman"/>
          <w:sz w:val="18"/>
          <w:szCs w:val="18"/>
          <w:i w:val="1"/>
          <w:iCs w:val="1"/>
          <w:color w:val="auto"/>
        </w:rPr>
        <w:t>Indiana Jones and the Dial of Destiny</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PORTFOLIO BRANDS: </w:t>
      </w:r>
      <w:r>
        <w:rPr>
          <w:rFonts w:ascii="Times New Roman" w:cs="Times New Roman" w:eastAsia="Times New Roman" w:hAnsi="Times New Roman"/>
          <w:sz w:val="18"/>
          <w:szCs w:val="18"/>
          <w:color w:val="auto"/>
        </w:rPr>
        <w:t>Portfolio Brands net revenues decreased $21.0 million, or 12%, in the third quarter of 2024 compared to the third quarter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net revenues from POWER RANGERS, BABY ALIVE, GI JOE and PJ MASKS products were partially offset by revenue contributions from MY LITTLE PONY trading card products.</w:t>
      </w:r>
    </w:p>
    <w:p>
      <w:pPr>
        <w:spacing w:after="0" w:line="2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NON-HASBRO BRANDED FILM &amp; TV</w:t>
      </w:r>
      <w:r>
        <w:rPr>
          <w:rFonts w:ascii="Times New Roman" w:cs="Times New Roman" w:eastAsia="Times New Roman" w:hAnsi="Times New Roman"/>
          <w:sz w:val="18"/>
          <w:szCs w:val="18"/>
          <w:color w:val="auto"/>
        </w:rPr>
        <w:t>: Net revenues from Non-Hasbro Branded Film &amp; TV decreased $93.6 million in the third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third quarter of 2023. Net revenues from the Company's Non-Hasbro-branded Film and TV portfolio were associated with the eOne Film and TV business sold during the fourth quarter of 2023. Effective in the first quarter of 2024, the Company moved the remaining Non-Hasbro Branded Film &amp; TV brands into Portfolio Brands to align with the Company's Brand Strategy. For comparability, net revenues for three months ended October 1, 2023, has been reclassified to reflect the movement, resulting in a change of $0.3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COSTS AND EXPENSES</w:t>
      </w:r>
    </w:p>
    <w:p>
      <w:pPr>
        <w:spacing w:after="0" w:line="25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sales - </w:t>
      </w:r>
      <w:r>
        <w:rPr>
          <w:rFonts w:ascii="Times New Roman" w:cs="Times New Roman" w:eastAsia="Times New Roman" w:hAnsi="Times New Roman"/>
          <w:sz w:val="18"/>
          <w:szCs w:val="18"/>
          <w:color w:val="auto"/>
        </w:rPr>
        <w:t>Cost of sales for the third quarter of 2024 was $378.9 million, or 29.6% of net revenues, compared to $494.5 million, or 32.9% of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for the third quarter of 2023. The Cost of sales decrease in dollars and as a percent of net revenues was driven primarily by lower sales volumes, supply chain productivity, and cost savings initiatives.</w:t>
      </w:r>
    </w:p>
    <w:p>
      <w:pPr>
        <w:spacing w:after="0" w:line="19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Program cost amortization - </w:t>
      </w:r>
      <w:r>
        <w:rPr>
          <w:rFonts w:ascii="Times New Roman" w:cs="Times New Roman" w:eastAsia="Times New Roman" w:hAnsi="Times New Roman"/>
          <w:sz w:val="18"/>
          <w:szCs w:val="18"/>
          <w:color w:val="auto"/>
        </w:rPr>
        <w:t>Program cost amortization decreased to $7.9 million, or 0.6% of net revenues, for the third quarter of 2024 from $68.4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4.5% of net revenues, for the third quarter of 2023. Program costs are capitalized as incurred and amortized primarily using the individual-film-forecast method which matches costs to the related recognized revenue. The decrease in dollars and as a percent of net revenues during the third quarter of 2024 was driven by the impact of the sale of the eOne Film and TV business during the fourth quarter of 2023 as prior year Program costs were primarily associated with the eOne Film and TV business.</w:t>
      </w:r>
    </w:p>
    <w:p>
      <w:pPr>
        <w:spacing w:after="0" w:line="20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Royalties - </w:t>
      </w:r>
      <w:r>
        <w:rPr>
          <w:rFonts w:ascii="Times New Roman" w:cs="Times New Roman" w:eastAsia="Times New Roman" w:hAnsi="Times New Roman"/>
          <w:sz w:val="18"/>
          <w:szCs w:val="18"/>
          <w:color w:val="auto"/>
        </w:rPr>
        <w:t>Royalty expense for the third quarter of 2024 decreased to $98.0 million, or 7.6% of net revenues, compared to $106.9 million, or 7.1% of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for the third quarter of 2023. Fluctuations in Royalty expense are generally related to the volume of content releases and deliveries and entertainment-driven products sold. The decrease in Royalty expense during the third quarter of 2024 directly reflects the impact of the sale of the eOne Film and TV business.</w:t>
      </w:r>
    </w:p>
    <w:p>
      <w:pPr>
        <w:spacing w:after="0" w:line="2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Product development - </w:t>
      </w:r>
      <w:r>
        <w:rPr>
          <w:rFonts w:ascii="Times New Roman" w:cs="Times New Roman" w:eastAsia="Times New Roman" w:hAnsi="Times New Roman"/>
          <w:sz w:val="18"/>
          <w:szCs w:val="18"/>
          <w:color w:val="auto"/>
        </w:rPr>
        <w:t>Product development expense for the third quarter of 2024 was $76.3 million, or 6.0% of net revenues, compared to $76.7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5.1% of net revenues, for the third quarter of 2023. The decrease in Product development expense during the third quarter of 2024 was primarily due to the Company's cost savings initiatives, along with phasing of product releases.</w:t>
      </w:r>
    </w:p>
    <w:p>
      <w:pPr>
        <w:spacing w:after="0" w:line="198"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Advertising - </w:t>
      </w:r>
      <w:r>
        <w:rPr>
          <w:rFonts w:ascii="Times New Roman" w:cs="Times New Roman" w:eastAsia="Times New Roman" w:hAnsi="Times New Roman"/>
          <w:sz w:val="18"/>
          <w:szCs w:val="18"/>
          <w:color w:val="auto"/>
        </w:rPr>
        <w:t>Advertising expense for the third quarter of 2024 was $101.9 million, or 8.0% of net revenues, compared to $81.9 million, or 5.4% of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for the third quarter of 2023. The Advertising expense increase during the third quarter of 2024 was primarily driven by the sale initiatives in Consumer Products segment.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1" w:name="page32"/>
    <w:bookmarkEnd w:id="31"/>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 </w:t>
      </w:r>
      <w:r>
        <w:rPr>
          <w:rFonts w:ascii="Times New Roman" w:cs="Times New Roman" w:eastAsia="Times New Roman" w:hAnsi="Times New Roman"/>
          <w:sz w:val="18"/>
          <w:szCs w:val="18"/>
          <w:color w:val="auto"/>
        </w:rPr>
        <w:t>Amortization of intangible assets decreased to $17.1 million, or 1.3% of net revenues, for the third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$19.2 million, or 1.3% of net revenues, for the third quarter of 2023. The decrease in 2024 reflects lower definite lived intangible assets due to the sale of the eOne Film and TV business and impairments taken in 2023. See further detail of impairments taken in 2023 in Note 6 of the 2023 Annual Report.</w:t>
      </w:r>
    </w:p>
    <w:p>
      <w:pPr>
        <w:spacing w:after="0" w:line="20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distribution and administration - </w:t>
      </w:r>
      <w:r>
        <w:rPr>
          <w:rFonts w:ascii="Times New Roman" w:cs="Times New Roman" w:eastAsia="Times New Roman" w:hAnsi="Times New Roman"/>
          <w:sz w:val="18"/>
          <w:szCs w:val="18"/>
          <w:color w:val="auto"/>
        </w:rPr>
        <w:t>Selling, distribution and administration expenses decreased to $299.3 million, or 23.4% of net revenues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2024, from $352.3 million, or 23.4% of net revenues, for the third quarter of 2023. The decrease in Selling, distribution and administration expenses during the third quarter of 2024 primarily reflects lower administrative expenses due to cost savings initiatives.</w:t>
      </w:r>
    </w:p>
    <w:p>
      <w:pPr>
        <w:spacing w:after="0" w:line="1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(Loss) - </w:t>
      </w:r>
      <w:r>
        <w:rPr>
          <w:rFonts w:ascii="Times New Roman" w:cs="Times New Roman" w:eastAsia="Times New Roman" w:hAnsi="Times New Roman"/>
          <w:sz w:val="18"/>
          <w:szCs w:val="18"/>
          <w:color w:val="auto"/>
        </w:rPr>
        <w:t>The operating profit for the third quarter of 2024 was $301.9 million, or 23.6% of net revenues, compared to an operating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$169.5 million, or 11.3% of net revenues, for the third quarter of 2023 driven by the factors discussed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NON-OPERATING EXPENSE (INCOME)</w:t>
      </w:r>
    </w:p>
    <w:p>
      <w:pPr>
        <w:spacing w:after="0" w:line="25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Interest expense - </w:t>
      </w:r>
      <w:r>
        <w:rPr>
          <w:rFonts w:ascii="Times New Roman" w:cs="Times New Roman" w:eastAsia="Times New Roman" w:hAnsi="Times New Roman"/>
          <w:sz w:val="18"/>
          <w:szCs w:val="18"/>
          <w:color w:val="auto"/>
        </w:rPr>
        <w:t>Interest expense for the third quarter of 2024 totaled $46.2 million compared to $47.1 million in the third quarter of 2023. The decrease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Interest expense for the third quarter of 2024 primarily reflects lower average outstanding borrowings in the third quarter of 2024 as compared to third quarter of 2023 due to the assumption of the production financing borrowings by Lionsgate as part of the eOne Film and TV business and due to the retirement of the Company's variable-rate Five-Year term loan using proceeds from the sale of the eOne Film and TV business, both occurring during the fourth quarter of 2023, partially offset by the issuance of the 2034 Notes (see Liquidity and Capital Resources discussion below for further information including description of the 2034 Notes).</w:t>
      </w:r>
    </w:p>
    <w:p>
      <w:pPr>
        <w:spacing w:after="0" w:line="20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income - </w:t>
      </w:r>
      <w:r>
        <w:rPr>
          <w:rFonts w:ascii="Times New Roman" w:cs="Times New Roman" w:eastAsia="Times New Roman" w:hAnsi="Times New Roman"/>
          <w:sz w:val="18"/>
          <w:szCs w:val="18"/>
          <w:color w:val="auto"/>
        </w:rPr>
        <w:t>Interest income was $14.7 million for the third quarter of 2024, compared to $3.8 million in the third quarter of 2023. Higher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in 2024 primarily reflects higher average interest rates in 2024 compared to 2023, along with the Company's investment in short-term treasury bills in connection with the issuance of the 2034 Notes (see Liquidity and Capital Resources discussion below for further information including description of the 2034 Notes).</w:t>
      </w:r>
    </w:p>
    <w:p>
      <w:pPr>
        <w:spacing w:after="0" w:line="20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net - </w:t>
      </w:r>
      <w:r>
        <w:rPr>
          <w:rFonts w:ascii="Times New Roman" w:cs="Times New Roman" w:eastAsia="Times New Roman" w:hAnsi="Times New Roman"/>
          <w:sz w:val="18"/>
          <w:szCs w:val="18"/>
          <w:color w:val="auto"/>
        </w:rPr>
        <w:t>Other income, net was $19.9 million for the third quarter of 2024, compared to Other income, net of $2.2 million in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2023. The change in Other income, net during 2024 was driven primarily by an increase in foreign currency exchange gains the third quarter of 2024 as compared to the third quarter of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 expense totaled $67.0 million on pre-tax income of $290.3 million in the third quarter of 2024 compared to income tax benefit of $44.6 million on pre-tax loss of $215.0 million in the third quarter of 2023. Both periods were impacted by discrete tax events including the accrual of potential interest and penalties on uncertain tax positions. During the third quarter of 2024, the Company recorded net discrete tax expense of $1.1 million compared to a net discrete tax benefit of $104.4 million in the third quarter of 2023.</w:t>
      </w:r>
    </w:p>
    <w:p>
      <w:pPr>
        <w:spacing w:after="0" w:line="20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net unfavorable discrete tax expense for the third quarter of 2024 are primarily associated with interest accruals on uncertain tax positions. The net favorable discrete tax benefit for the third quarter of 2023 is primarily associated with a tax benefit on the loss on assets held for sale of $473.0 million, offset by stock compensation and activity related to uncertain tax benefits, primarily interest accruals. Absent discrete items, the tax rates for the third quarter of 2024 and 2023 were 22.7% and 23.2%, respectively. The decrease in the base rate of 22.7% for the third quarter of 2024, relative to the third quarter of 2023, is primarily due to the mix of jurisdictions where the Company earned its profits combined with the timing of income recognition during 2023.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external revenues and operating profit (loss) for the Company's reportable segments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2024 and October 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4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Pr>
          <w:p>
            <w:pPr>
              <w:spacing w:after="0"/>
              <w:rPr>
                <w:sz w:val="13"/>
                <w:szCs w:val="13"/>
                <w:color w:val="auto"/>
              </w:rPr>
            </w:pPr>
          </w:p>
        </w:tc>
        <w:tc>
          <w:tcPr>
            <w:tcW w:w="13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64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57"/>
        </w:trPr>
        <w:tc>
          <w:tcPr>
            <w:tcW w:w="20" w:type="dxa"/>
            <w:vAlign w:val="bottom"/>
            <w:shd w:val="clear" w:color="auto" w:fill="CCEEFF"/>
          </w:tcPr>
          <w:p>
            <w:pPr>
              <w:spacing w:after="0"/>
              <w:rPr>
                <w:sz w:val="13"/>
                <w:szCs w:val="13"/>
                <w:color w:val="auto"/>
              </w:rPr>
            </w:pPr>
          </w:p>
        </w:tc>
        <w:tc>
          <w:tcPr>
            <w:tcW w:w="628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956.9</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20" w:type="dxa"/>
            <w:vAlign w:val="bottom"/>
            <w:tcBorders>
              <w:bottom w:val="single" w:sz="8" w:color="CCEEFF"/>
            </w:tcBorders>
          </w:tcPr>
          <w:p>
            <w:pPr>
              <w:spacing w:after="0"/>
              <w:rPr>
                <w:sz w:val="18"/>
                <w:szCs w:val="18"/>
                <w:color w:val="auto"/>
              </w:rPr>
            </w:pPr>
          </w:p>
        </w:tc>
        <w:tc>
          <w:tcPr>
            <w:tcW w:w="6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Entertainment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1,503.4</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profit (loss):</w:t>
            </w:r>
          </w:p>
        </w:tc>
        <w:tc>
          <w:tcPr>
            <w:tcW w:w="4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Entertainment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6"/>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1,920 %</w:t>
            </w:r>
          </w:p>
        </w:tc>
      </w:tr>
      <w:tr>
        <w:trPr>
          <w:trHeight w:val="212"/>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Operating profit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 Products Segment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Consumer Products segment net revenues by major geographic region for the three months ended September 29,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60" w:type="dxa"/>
            <w:vAlign w:val="bottom"/>
            <w:tcBorders>
              <w:bottom w:val="single" w:sz="8" w:color="auto"/>
            </w:tcBorders>
          </w:tcPr>
          <w:p>
            <w:pPr>
              <w:spacing w:after="0"/>
              <w:rPr>
                <w:sz w:val="18"/>
                <w:szCs w:val="18"/>
                <w:color w:val="auto"/>
              </w:rPr>
            </w:pPr>
          </w:p>
        </w:tc>
      </w:tr>
      <w:tr>
        <w:trPr>
          <w:trHeight w:val="158"/>
        </w:trPr>
        <w:tc>
          <w:tcPr>
            <w:tcW w:w="6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Pr>
          <w:p>
            <w:pPr>
              <w:spacing w:after="0"/>
              <w:rPr>
                <w:sz w:val="13"/>
                <w:szCs w:val="13"/>
                <w:color w:val="auto"/>
              </w:rPr>
            </w:pPr>
          </w:p>
        </w:tc>
        <w:tc>
          <w:tcPr>
            <w:tcW w:w="13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66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6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573.6</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956.9</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Consumer Products segment net revenues decreased 10% to $860.1 million for the third quarter of 2024 compared to $956.9 million for the third quarter of 2023 primarily driven by broader industry trends, exited businesses, including out-licensing certain brands, shifts in product mix, and reduced closeout sales as a result of last year's inventory clean up initiatives.</w:t>
      </w:r>
    </w:p>
    <w:p>
      <w:pPr>
        <w:spacing w:after="0" w:line="203"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net revenue decrease primarily reflects lower net revenues from NERF, MARVEL and STAR WARS products. STAR WARS and MARVEL products benefited from a slate of entertainment releases in prior years without a more recent release entertainment release to support revenue in the third quarter of 2024. These declines in revenue were partially offset by revenue growth from BEY BLADE and TRANSFORMERS products and licensing revenue from MY LITTLE PONY.</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Consumer Products segment operating profit for the third quarter of 2024 was $121.0 million or 14.1% of segment net revenues, compared to a segment operating profit of $96.1 million or 10.0% of segment net revenues, for the third quarter of 2023. The increase in operating profit in the third quarter of 2024 was driven by favorable product mix, and savings realized from the Company's cost savings initiatives, lower royalty expenses reflecting the mix of products sold, and lower freight costs, associated with the lower sales volumes.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auto"/>
        </w:rPr>
        <w:t>Wizards of the Coast and Digital Gaming Segment</w:t>
      </w:r>
    </w:p>
    <w:p>
      <w:pPr>
        <w:spacing w:after="0" w:line="2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following table presents Wizards of the Coast and Digital Gaming segment net revenues by category for the three months ended September 29, 2024 and October 1, 2023: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60" w:type="dxa"/>
            <w:vAlign w:val="bottom"/>
            <w:tcBorders>
              <w:bottom w:val="single" w:sz="8" w:color="auto"/>
            </w:tcBorders>
          </w:tcPr>
          <w:p>
            <w:pPr>
              <w:spacing w:after="0"/>
              <w:rPr>
                <w:sz w:val="18"/>
                <w:szCs w:val="18"/>
                <w:color w:val="auto"/>
              </w:rPr>
            </w:pPr>
          </w:p>
        </w:tc>
      </w:tr>
      <w:tr>
        <w:trPr>
          <w:trHeight w:val="158"/>
        </w:trPr>
        <w:tc>
          <w:tcPr>
            <w:tcW w:w="6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Pr>
          <w:p>
            <w:pPr>
              <w:spacing w:after="0"/>
              <w:rPr>
                <w:sz w:val="13"/>
                <w:szCs w:val="13"/>
                <w:color w:val="auto"/>
              </w:rPr>
            </w:pPr>
          </w:p>
        </w:tc>
        <w:tc>
          <w:tcPr>
            <w:tcW w:w="13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66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6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Tabletop Gaming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Digital and Licensed Gaming</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 xml:space="preserve">Wizards of the Coast and Digital Gaming segment net revenues decreased 4.6% in the third quarter of 2024 to $404.0 million from $423.6 million in the third quarter of 2023. The net revenue decrease in the Wizards of the Coast and Digital Gaming segment during the third quarter of 2024 was primarily attributable to revenue contributions from higher digital licensing of </w:t>
      </w:r>
      <w:r>
        <w:rPr>
          <w:rFonts w:ascii="Times New Roman" w:cs="Times New Roman" w:eastAsia="Times New Roman" w:hAnsi="Times New Roman"/>
          <w:sz w:val="18"/>
          <w:szCs w:val="18"/>
          <w:i w:val="1"/>
          <w:iCs w:val="1"/>
          <w:color w:val="auto"/>
        </w:rPr>
        <w:t>Baldur's Gate 3</w:t>
      </w:r>
      <w:r>
        <w:rPr>
          <w:rFonts w:ascii="Times New Roman" w:cs="Times New Roman" w:eastAsia="Times New Roman" w:hAnsi="Times New Roman"/>
          <w:sz w:val="18"/>
          <w:szCs w:val="18"/>
          <w:color w:val="auto"/>
        </w:rPr>
        <w:t xml:space="preserve">, the DUNGEONS &amp; DRAGONS-based role-playing video game released during the third quarter 2023 with no comparable release during the third quarter 2024. The net revenue decrease from </w:t>
      </w:r>
      <w:r>
        <w:rPr>
          <w:rFonts w:ascii="Times New Roman" w:cs="Times New Roman" w:eastAsia="Times New Roman" w:hAnsi="Times New Roman"/>
          <w:sz w:val="18"/>
          <w:szCs w:val="18"/>
          <w:i w:val="1"/>
          <w:iCs w:val="1"/>
          <w:color w:val="auto"/>
        </w:rPr>
        <w:t>Baldur's Gate 3</w:t>
      </w:r>
      <w:r>
        <w:rPr>
          <w:rFonts w:ascii="Times New Roman" w:cs="Times New Roman" w:eastAsia="Times New Roman" w:hAnsi="Times New Roman"/>
          <w:sz w:val="18"/>
          <w:szCs w:val="18"/>
          <w:color w:val="auto"/>
        </w:rPr>
        <w:t xml:space="preserve"> was partially offset by net revenue increase from </w:t>
      </w:r>
      <w:r>
        <w:rPr>
          <w:rFonts w:ascii="Times New Roman" w:cs="Times New Roman" w:eastAsia="Times New Roman" w:hAnsi="Times New Roman"/>
          <w:sz w:val="18"/>
          <w:szCs w:val="18"/>
          <w:i w:val="1"/>
          <w:iCs w:val="1"/>
          <w:color w:val="auto"/>
        </w:rPr>
        <w:t>MONOPOLY GO!</w:t>
      </w:r>
      <w:r>
        <w:rPr>
          <w:rFonts w:ascii="Times New Roman" w:cs="Times New Roman" w:eastAsia="Times New Roman" w:hAnsi="Times New Roman"/>
          <w:sz w:val="18"/>
          <w:szCs w:val="18"/>
          <w:color w:val="auto"/>
        </w:rPr>
        <w:t xml:space="preserve"> and Tabletop Gaming revenue which increased 2.2% behind growth in MAGIC: THE GATHERING primarily due to strong demand for </w:t>
      </w:r>
      <w:r>
        <w:rPr>
          <w:rFonts w:ascii="Times New Roman" w:cs="Times New Roman" w:eastAsia="Times New Roman" w:hAnsi="Times New Roman"/>
          <w:sz w:val="18"/>
          <w:szCs w:val="18"/>
          <w:i w:val="1"/>
          <w:iCs w:val="1"/>
          <w:color w:val="auto"/>
        </w:rPr>
        <w:t>Bloomburrow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Duskmourn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Festival in a Box.</w:t>
      </w:r>
    </w:p>
    <w:p>
      <w:pPr>
        <w:spacing w:after="0" w:line="21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Wizards of the Coast and Digital Gaming segment operating profit was $181.2 million, or 44.9% of segment net revenues for the third quarter of 2024, compared to operating profit of $203.4 million, or 48.0% of segment net revenues, for the third quarter of 2023. The operating profit decrease during the third quarter of 2024 was driven by decreased net revenues and lower digital licensing revenue mix, partially offset from the benefit of, cost savings initiatives.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Entertainment Segment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Entertainment segment net revenues by category for the three months ended September 29, 2024 and October 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60" w:type="dxa"/>
            <w:vAlign w:val="bottom"/>
            <w:tcBorders>
              <w:bottom w:val="single" w:sz="8" w:color="auto"/>
            </w:tcBorders>
          </w:tcPr>
          <w:p>
            <w:pPr>
              <w:spacing w:after="0"/>
              <w:rPr>
                <w:sz w:val="18"/>
                <w:szCs w:val="18"/>
                <w:color w:val="auto"/>
              </w:rPr>
            </w:pPr>
          </w:p>
        </w:tc>
      </w:tr>
      <w:tr>
        <w:trPr>
          <w:trHeight w:val="159"/>
        </w:trPr>
        <w:tc>
          <w:tcPr>
            <w:tcW w:w="6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40" w:type="dxa"/>
            <w:vAlign w:val="bottom"/>
          </w:tcPr>
          <w:p>
            <w:pPr>
              <w:spacing w:after="0"/>
              <w:rPr>
                <w:sz w:val="13"/>
                <w:szCs w:val="13"/>
                <w:color w:val="auto"/>
              </w:rPr>
            </w:pPr>
          </w:p>
        </w:tc>
        <w:tc>
          <w:tcPr>
            <w:tcW w:w="13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66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6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Film and TV</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Family Brands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Entertainment segment net revenues decreased 86% to $17.2 million for the third quarter of 2024, compared to $122.9 million for the third quarter of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revenue decrease in the Entertainment segment during the third quarter of 2024 was driven by lower net revenues as a result of the sale of the eOne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Film and TV business during the fourth quarter of 2023.</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Entertainment segment operating profit was $9.8 million, or 57.0% of segment net revenues for the third quarter of 2024, compared to an operating loss of $468.5 million, or 381% of segment net revenues for the third quarter of 2023. The increase in Entertainment segment operating results during the third quarter of 2024 was driven by recording of a loss on assets held for sale of $473.0 million in the third quarter that related to the sale of the eOne Film and TV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and Other</w:t>
      </w:r>
    </w:p>
    <w:p>
      <w:pPr>
        <w:spacing w:after="0" w:line="2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Corporate and Other operating loss was $10.1 million for the third quarter of 2024 compared to an operating loss of $0.5 million for the third quarter of 2023. The increase in operating loss in the third quarter of 2024 as compared to the third quarter of 2023 primarily reflects costs for certain retained liabilities associated with the eOne Film and TV business.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consolidated results of operations for the nine months ended September 29, 2024 and October 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1"/>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29, 2024</w:t>
            </w:r>
          </w:p>
        </w:tc>
        <w:tc>
          <w:tcPr>
            <w:tcW w:w="260" w:type="dxa"/>
            <w:vAlign w:val="bottom"/>
          </w:tcPr>
          <w:p>
            <w:pPr>
              <w:spacing w:after="0"/>
              <w:rPr>
                <w:sz w:val="18"/>
                <w:szCs w:val="18"/>
                <w:color w:val="auto"/>
              </w:rPr>
            </w:pPr>
          </w:p>
        </w:tc>
        <w:tc>
          <w:tcPr>
            <w:tcW w:w="2840" w:type="dxa"/>
            <w:vAlign w:val="bottom"/>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October 1, 2023</w:t>
            </w:r>
          </w:p>
        </w:tc>
      </w:tr>
      <w:tr>
        <w:trPr>
          <w:trHeight w:val="209"/>
        </w:trPr>
        <w:tc>
          <w:tcPr>
            <w:tcW w:w="49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of Net Revenues</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of Net Revenues</w:t>
            </w:r>
          </w:p>
        </w:tc>
      </w:tr>
      <w:tr>
        <w:trPr>
          <w:trHeight w:val="21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3,714.4</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Cost of sales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Program production cost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Royalties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Advertising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Impairment of 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Loss on disposal of business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Selling, distribution and administration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28.3 %</w:t>
            </w:r>
          </w:p>
        </w:tc>
      </w:tr>
      <w:tr>
        <w:trPr>
          <w:trHeight w:val="207"/>
        </w:trPr>
        <w:tc>
          <w:tcPr>
            <w:tcW w:w="49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2,403.7</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79.2 %</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4,054.6</w:t>
            </w:r>
          </w:p>
        </w:tc>
        <w:tc>
          <w:tcPr>
            <w:tcW w:w="8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109.2 %</w:t>
            </w: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(loss)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(income) expense:</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3"/>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4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49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8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noncontrolling interests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7"/>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attributable to Hasbro, Inc.</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per common share: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9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35"/>
        </w:trPr>
        <w:tc>
          <w:tcPr>
            <w:tcW w:w="4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revenues - </w:t>
      </w:r>
      <w:r>
        <w:rPr>
          <w:rFonts w:ascii="Times New Roman" w:cs="Times New Roman" w:eastAsia="Times New Roman" w:hAnsi="Times New Roman"/>
          <w:sz w:val="18"/>
          <w:szCs w:val="18"/>
          <w:color w:val="auto"/>
        </w:rPr>
        <w:t>Net revenues for the first nine months of 2024 decreased 18% to $3,033.9 million from $3,714.4 million for the first nine months of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driven by a $423.5 million, or 87%, decline in the Entertainment segment and a $334.9 million, or 16%, decline in the Consumer Products segment, partially offset by a $77.9 million, or 7%, increase in the Wizards of the Coast and Digital Gaming segment. See the Segment Results discussion below for further details.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revenues by brand portfolio category for the nine months ended September 29, 2024 and October 1,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40" w:type="dxa"/>
            <w:vAlign w:val="bottom"/>
            <w:tcBorders>
              <w:bottom w:val="single" w:sz="8" w:color="auto"/>
            </w:tcBorders>
          </w:tcPr>
          <w:p>
            <w:pPr>
              <w:spacing w:after="0"/>
              <w:rPr>
                <w:sz w:val="18"/>
                <w:szCs w:val="18"/>
                <w:color w:val="auto"/>
              </w:rPr>
            </w:pPr>
          </w:p>
        </w:tc>
      </w:tr>
      <w:tr>
        <w:trPr>
          <w:trHeight w:val="158"/>
        </w:trPr>
        <w:tc>
          <w:tcPr>
            <w:tcW w:w="6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20" w:type="dxa"/>
            <w:vAlign w:val="bottom"/>
          </w:tcPr>
          <w:p>
            <w:pPr>
              <w:spacing w:after="0"/>
              <w:rPr>
                <w:sz w:val="13"/>
                <w:szCs w:val="13"/>
                <w:color w:val="auto"/>
              </w:rPr>
            </w:pPr>
          </w:p>
        </w:tc>
        <w:tc>
          <w:tcPr>
            <w:tcW w:w="1500" w:type="dxa"/>
            <w:vAlign w:val="bottom"/>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64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6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Brands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Partner Brands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Portfolio Brands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6"/>
        </w:trPr>
        <w:tc>
          <w:tcPr>
            <w:tcW w:w="63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Non-Hasbro Branded Film &amp; TV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5"/>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ind w:right="240" w:firstLine="8"/>
        <w:spacing w:after="0"/>
        <w:tabs>
          <w:tab w:leader="none" w:pos="132" w:val="left"/>
        </w:tabs>
        <w:numPr>
          <w:ilvl w:val="0"/>
          <w:numId w:val="34"/>
        </w:numPr>
        <w:rPr>
          <w:rFonts w:ascii="Times New Roman" w:cs="Times New Roman" w:eastAsia="Times New Roman" w:hAnsi="Times New Roman"/>
          <w:sz w:val="15"/>
          <w:szCs w:val="15"/>
          <w:i w:val="1"/>
          <w:iCs w:val="1"/>
          <w:color w:val="auto"/>
          <w:vertAlign w:val="superscript"/>
        </w:rPr>
      </w:pPr>
      <w:r>
        <w:rPr>
          <w:rFonts w:ascii="Times New Roman" w:cs="Times New Roman" w:eastAsia="Times New Roman" w:hAnsi="Times New Roman"/>
          <w:sz w:val="11"/>
          <w:szCs w:val="11"/>
          <w:i w:val="1"/>
          <w:iCs w:val="1"/>
          <w:color w:val="auto"/>
        </w:rPr>
        <w:t>Net revenues from the Company's Non-Hasbro-branded Film and TV portfolio were associated with the Company's non-core eOne Film and TV business sold to Lionsgate during the fourth quarter of 2023.</w:t>
      </w:r>
    </w:p>
    <w:p>
      <w:pPr>
        <w:spacing w:after="0" w:line="200" w:lineRule="exact"/>
        <w:rPr>
          <w:sz w:val="20"/>
          <w:szCs w:val="20"/>
          <w:color w:val="auto"/>
        </w:rPr>
      </w:pPr>
    </w:p>
    <w:p>
      <w:pPr>
        <w:spacing w:after="0" w:line="2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FRANCHISE BRANDS: </w:t>
      </w:r>
      <w:r>
        <w:rPr>
          <w:rFonts w:ascii="Times New Roman" w:cs="Times New Roman" w:eastAsia="Times New Roman" w:hAnsi="Times New Roman"/>
          <w:sz w:val="18"/>
          <w:szCs w:val="18"/>
          <w:color w:val="auto"/>
        </w:rPr>
        <w:t>Net revenues in the Franchise Brands portfolio decreased $78.1 million, or 3%, in the first nine months of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first nine months of 2023. The net revenue decrease primarily reflects lower net revenues from NERF and TRANSFORMERS products. Net revenues from TRANSFORMERS products in the first nine months of 2023 were supported by the June 2023 theatrical release of TRANSFORMERS: Rise of the Beasts. The lower net revenues from NERF and TRANSFORMERS products were partially offset by higher net revenues from </w:t>
      </w:r>
      <w:r>
        <w:rPr>
          <w:rFonts w:ascii="Times New Roman" w:cs="Times New Roman" w:eastAsia="Times New Roman" w:hAnsi="Times New Roman"/>
          <w:sz w:val="18"/>
          <w:szCs w:val="18"/>
          <w:i w:val="1"/>
          <w:iCs w:val="1"/>
          <w:color w:val="auto"/>
        </w:rPr>
        <w:t>MONOPOLY GO!</w:t>
      </w:r>
      <w:r>
        <w:rPr>
          <w:rFonts w:ascii="Times New Roman" w:cs="Times New Roman" w:eastAsia="Times New Roman" w:hAnsi="Times New Roman"/>
          <w:sz w:val="18"/>
          <w:szCs w:val="18"/>
          <w:color w:val="auto"/>
        </w:rPr>
        <w:t>, along with MAGIC: THE GATHERING products.</w:t>
      </w:r>
    </w:p>
    <w:p>
      <w:pPr>
        <w:spacing w:after="0" w:line="2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PARTNER BRANDS: </w:t>
      </w:r>
      <w:r>
        <w:rPr>
          <w:rFonts w:ascii="Times New Roman" w:cs="Times New Roman" w:eastAsia="Times New Roman" w:hAnsi="Times New Roman"/>
          <w:sz w:val="18"/>
          <w:szCs w:val="18"/>
          <w:color w:val="auto"/>
        </w:rPr>
        <w:t>Net revenues from the Partner Brands portfolio decreased $131.4 million, or 25%, in the first nine months of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first nine months of 2023. During the first nine months of 2024, Partner Brands net revenue decreases were driven by lower net revenues from the Company's products for STAR WARS and MARVEL which benefited from a broader slate of entertainment releases in prior years without a more recent release entertainment release to support revenue in the first nine months of 2024. Additionally, revenue in the first nine months of 2023 was higher due to the Company's products for INDIANA JONES supported by the June 2023 theatrical release of </w:t>
      </w:r>
      <w:r>
        <w:rPr>
          <w:rFonts w:ascii="Times New Roman" w:cs="Times New Roman" w:eastAsia="Times New Roman" w:hAnsi="Times New Roman"/>
          <w:sz w:val="18"/>
          <w:szCs w:val="18"/>
          <w:i w:val="1"/>
          <w:iCs w:val="1"/>
          <w:color w:val="auto"/>
        </w:rPr>
        <w:t>Indiana Jones and the Dial of Destiny</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PORTFOLIO BRANDS: </w:t>
      </w:r>
      <w:r>
        <w:rPr>
          <w:rFonts w:ascii="Times New Roman" w:cs="Times New Roman" w:eastAsia="Times New Roman" w:hAnsi="Times New Roman"/>
          <w:sz w:val="18"/>
          <w:szCs w:val="18"/>
          <w:color w:val="auto"/>
        </w:rPr>
        <w:t>Portfolio Brands net revenues decreased $73.8 million, or 20%, in the first nine months of 2024 compared to the first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2023. Lower net revenues from POWER RANGERS, BABY ALIVE, and PJ MASKS products were partially offset by revenue contributions from FURBY products following the Company's reintroduction of the brand and refreshed product line during the second quarter of 2023 and licensing revenue for MY LITTLE PONY trading cards.</w:t>
      </w:r>
    </w:p>
    <w:p>
      <w:pPr>
        <w:spacing w:after="0" w:line="20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NON-HASBRO BRANDED FILM &amp; TV</w:t>
      </w:r>
      <w:r>
        <w:rPr>
          <w:rFonts w:ascii="Times New Roman" w:cs="Times New Roman" w:eastAsia="Times New Roman" w:hAnsi="Times New Roman"/>
          <w:sz w:val="18"/>
          <w:szCs w:val="18"/>
          <w:color w:val="auto"/>
        </w:rPr>
        <w:t>: Net revenues from Non-Hasbro Branded Film &amp; TV decreased $397.2 million in the first nine months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first nine months of 2023. Net revenues from the Company's Non-Hasbro-branded Film and TV portfolio were associated with the eOne Film and TV business sold during the fourth quarter of 2023. Effective in the first quarter of 2024, the Company moved the remaining Non-Hasbro Branded Film &amp; TV brands into Portfolio Brands to align with the Company's Brand Strategy. For comparability, net revenues for nine months ended October 1, 2023, has been reclassified to reflect the movement, resulting in a change of $1.2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COSTS AND EXPENSES</w:t>
      </w:r>
    </w:p>
    <w:p>
      <w:pPr>
        <w:spacing w:after="0" w:line="25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sales - </w:t>
      </w:r>
      <w:r>
        <w:rPr>
          <w:rFonts w:ascii="Times New Roman" w:cs="Times New Roman" w:eastAsia="Times New Roman" w:hAnsi="Times New Roman"/>
          <w:sz w:val="18"/>
          <w:szCs w:val="18"/>
          <w:color w:val="auto"/>
        </w:rPr>
        <w:t>Cost of sales for the first nine months of 2024 was $820.8 million, or 27.1% of net revenues, compared to $1,132.0 million, or 30.5% of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for the first nine months of 2023. The Cost of sales decrease in dollars and as a percent of net revenues was driven primarily by lower sales volumes, supply chain productivity, and cost savings initiatives, and a non-recurring $26.7 million benefit related to a historical over-accrual of vendor commitment liabilities as discussed in Note 1 to the consolidated financial statements.</w:t>
      </w:r>
    </w:p>
    <w:p>
      <w:pPr>
        <w:spacing w:after="0" w:line="20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Program cost amortization - </w:t>
      </w:r>
      <w:r>
        <w:rPr>
          <w:rFonts w:ascii="Times New Roman" w:cs="Times New Roman" w:eastAsia="Times New Roman" w:hAnsi="Times New Roman"/>
          <w:sz w:val="18"/>
          <w:szCs w:val="18"/>
          <w:color w:val="auto"/>
        </w:rPr>
        <w:t>Program cost amortization decreased to $24.5 million, or 0.8% of net revenues, for the first nine months of 2024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$325.3 million, or 8.8% of net revenues, for the first nine months of 2023. The decrease in dollars and as a percent of net revenues during the first nine months of 2024 was driven by the impact of the sale of the eOne Film and TV business during the fourth quarter of 2023 as prior year Program costs were primarily associated with the eOne Film and TV business.</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Royalties - </w:t>
      </w:r>
      <w:r>
        <w:rPr>
          <w:rFonts w:ascii="Times New Roman" w:cs="Times New Roman" w:eastAsia="Times New Roman" w:hAnsi="Times New Roman"/>
          <w:sz w:val="18"/>
          <w:szCs w:val="18"/>
          <w:color w:val="auto"/>
        </w:rPr>
        <w:t>Royalty expense for the first nine months of 2024 decreased to $204.2 million, or 6.7% of net revenues, compared to $295.8 million, or 8.0%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revenues, for the first nine months of 2023. The decrease in Royalty expense in dollars and as a percent of net revenues during the first nine months of 2024 directly reflects the impact of the sale of the eOne Film and TV business.</w:t>
      </w:r>
    </w:p>
    <w:p>
      <w:pPr>
        <w:spacing w:after="0" w:line="19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Product development - </w:t>
      </w:r>
      <w:r>
        <w:rPr>
          <w:rFonts w:ascii="Times New Roman" w:cs="Times New Roman" w:eastAsia="Times New Roman" w:hAnsi="Times New Roman"/>
          <w:sz w:val="18"/>
          <w:szCs w:val="18"/>
          <w:color w:val="auto"/>
        </w:rPr>
        <w:t>Product development expense for the first nine months of 2024 was $212.2 million, or 7.0% of net revenues, compared to $232.4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6.3% of net revenues, for the first nine months of 2023. The decrease in Product development expense during the first nine months of 2024 was driven by cost savings initiatives from cost savings initiatives, along with phasing of product releases.</w:t>
      </w:r>
    </w:p>
    <w:p>
      <w:pPr>
        <w:spacing w:after="0" w:line="198"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Advertising - </w:t>
      </w:r>
      <w:r>
        <w:rPr>
          <w:rFonts w:ascii="Times New Roman" w:cs="Times New Roman" w:eastAsia="Times New Roman" w:hAnsi="Times New Roman"/>
          <w:sz w:val="18"/>
          <w:szCs w:val="18"/>
          <w:color w:val="auto"/>
        </w:rPr>
        <w:t>Advertising expense for the first nine months of 2024 was $213.8 million, or 7.0% of net revenues, compared to $249.8 million, or 6.7%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revenues, for the first nine months of 2023. The Advertising expense decrease during the first nine months of 2024 was primarily driven by the sale of the eOne Film and TV business, along with declines in the advertising expense in the Consumer Products segment due to lower net revenues.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6" w:name="page37"/>
    <w:bookmarkEnd w:id="36"/>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 </w:t>
      </w:r>
      <w:r>
        <w:rPr>
          <w:rFonts w:ascii="Times New Roman" w:cs="Times New Roman" w:eastAsia="Times New Roman" w:hAnsi="Times New Roman"/>
          <w:sz w:val="18"/>
          <w:szCs w:val="18"/>
          <w:color w:val="auto"/>
        </w:rPr>
        <w:t>Amortization of intangible assets decreased to $51.2 million, or 1.7% of net revenues, for the first nine months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$65.1 million, or 1.8% of net revenues, for the first nine months of 2023. The decrease in 2024 reflects lower definite lived intangible assets due to the sale of the eOne Film and TV business and impairments taken in 2023. See further detail of impairments taken in 2023 in Note 6 of the 2023 Annual Report.</w:t>
      </w:r>
    </w:p>
    <w:p>
      <w:pPr>
        <w:spacing w:after="0" w:line="190"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 </w:t>
      </w:r>
      <w:r>
        <w:rPr>
          <w:rFonts w:ascii="Times New Roman" w:cs="Times New Roman" w:eastAsia="Times New Roman" w:hAnsi="Times New Roman"/>
          <w:sz w:val="18"/>
          <w:szCs w:val="18"/>
          <w:color w:val="auto"/>
        </w:rPr>
        <w:t>There were no goodwill impairment charges during the first nine months of 2024. During the first nine months of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recorded $231.2 million of goodwill impairment charges associated with goodwill assigned to the Company's Film and TV reporting unit. See further details in the 2023 Annual Report.</w:t>
      </w:r>
    </w:p>
    <w:p>
      <w:pPr>
        <w:spacing w:after="0" w:line="21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Selling, distribution and administration - </w:t>
      </w:r>
      <w:r>
        <w:rPr>
          <w:rFonts w:ascii="Times New Roman" w:cs="Times New Roman" w:eastAsia="Times New Roman" w:hAnsi="Times New Roman"/>
          <w:sz w:val="18"/>
          <w:szCs w:val="18"/>
          <w:color w:val="auto"/>
        </w:rPr>
        <w:t>Selling, distribution and administration expenses decreased to $852.6 million, or 28.1% of net revenues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nine months of 2024, from $1,050.0 million, or 28.3% of net revenues, for the first nine months of 2023. The decrease in Selling, distribution and administration expenses in dollars and as a percent of net revenues during the first nine months of 2024 primarily reflects lower administrative expenses due to cost savings from cost savings initiatives, a prior year intangible asset impairment charge of $65.0 million related to the Company's eOne trademark intangible asset, along with a non-recurring stock-compensation adjustment of $18.1 million recorded during the first quarter of 2024, partially offset by a non-recurring $31.1 million expense related to historical environmental exposures as discussed in Note 1 to the consolidated financial statements.</w:t>
      </w:r>
    </w:p>
    <w:p>
      <w:pPr>
        <w:spacing w:after="0" w:line="20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(Loss) - </w:t>
      </w:r>
      <w:r>
        <w:rPr>
          <w:rFonts w:ascii="Times New Roman" w:cs="Times New Roman" w:eastAsia="Times New Roman" w:hAnsi="Times New Roman"/>
          <w:sz w:val="18"/>
          <w:szCs w:val="18"/>
          <w:color w:val="auto"/>
        </w:rPr>
        <w:t>The operating profit for the first nine months of 2024 was $630.2 million, or 20.8% of net revenues, compared to an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of $(340.2) million, or 9.2% of net revenues, for the first nine months of 2023 driven by the factors discussed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NON-OPERATING EXPENSE (INCOME)</w:t>
      </w:r>
    </w:p>
    <w:p>
      <w:pPr>
        <w:spacing w:after="0" w:line="25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Interest expense - </w:t>
      </w:r>
      <w:r>
        <w:rPr>
          <w:rFonts w:ascii="Times New Roman" w:cs="Times New Roman" w:eastAsia="Times New Roman" w:hAnsi="Times New Roman"/>
          <w:sz w:val="18"/>
          <w:szCs w:val="18"/>
          <w:color w:val="auto"/>
        </w:rPr>
        <w:t>Interest expense for the first nine months of 2024 totaled $127.7 million compared to $140.0 million in the first nine months of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decrease in Interest expense for the first nine months of 2024 primarily reflects lower average outstanding borrowings in the first nine months of 2024 as compared to first nine months of 2023 due to the assumption of the production financing borrowings by Lionsgate as part of the eOne Film and TV business and due to the retirement of the Company's variable-rate Five-Year term loan using proceeds from the sale of the eOne Film and TV business, both occurring during the fourth quarter of 2023, partially offset by the issuance of the 2034 Notes (see Liquidity and Capital Resources discussion below for further information including description of the 2034 Notes).</w:t>
      </w:r>
    </w:p>
    <w:p>
      <w:pPr>
        <w:spacing w:after="0" w:line="20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income - </w:t>
      </w:r>
      <w:r>
        <w:rPr>
          <w:rFonts w:ascii="Times New Roman" w:cs="Times New Roman" w:eastAsia="Times New Roman" w:hAnsi="Times New Roman"/>
          <w:sz w:val="18"/>
          <w:szCs w:val="18"/>
          <w:color w:val="auto"/>
        </w:rPr>
        <w:t>Interest income was $36.0 million for the first nine months of 2024, compared to $15.6 million in the first nine months of 2023. Higher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income in 2024 primarily reflects higher average interest rates in 2024 compared to 2023, along with the Company's investment in short-term treasury bills in connection with the issuance of the 2034 Notes (see Liquidity and Capital Resources discussion below for further information including description of the 2034 Notes).</w:t>
      </w:r>
    </w:p>
    <w:p>
      <w:pPr>
        <w:spacing w:after="0" w:line="2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net - </w:t>
      </w:r>
      <w:r>
        <w:rPr>
          <w:rFonts w:ascii="Times New Roman" w:cs="Times New Roman" w:eastAsia="Times New Roman" w:hAnsi="Times New Roman"/>
          <w:sz w:val="18"/>
          <w:szCs w:val="18"/>
          <w:color w:val="auto"/>
        </w:rPr>
        <w:t>Other income, net was $15.7 million for the first nine months of 2024, compared to Other income, net of $0.7 million in the first nine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of 2023. The change in Other income, net during 2024 was driven primarily by an increase in foreign currency exchange gains the first nine months of 2024 as compared to the first nine months of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Income tax expense totaled $133.3 million on pre-tax income of $554.2 million in the first nine months of 2024 compared to an income tax benefit of $36.9 million on pre-tax loss of $463.9 million in the first nine months of 2023. Both periods were impacted by discrete tax events including the accrual of potential interest and penalties on uncertain tax positions. During the first nine months of 2024, the Company incurred a $24.4 million unfavorable adjustment to the 2023 Loss on Sale of the Film &amp; TV reporting unit with no corresponding tax benefit. The first nine months of 2023 includes an impairment of goodwill related to the Film &amp; TV reporting unit of $231.2 million with no tax benefit. During the first nine months of 2024, exclusive of the Loss on Sale adjustment, the Company recorded net discrete tax expense of $1.8 million compared to a net benefit, exclusive of the goodwill impairment, of $113.3 million in the first nine months of 2023.</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unfavorable net discrete tax expense for the first nine months of 2024 is primarily associated with stock-based compensation offset by the release of various uncertain tax positions. The net discrete tax benefits recorded in the first nine months of 2023 is primarily associated with a tax benefit on the impairment of trade names in the Entertainment segment in the second quarter and the loss on assets held for sale of $473.0 million, recorded in the third quarter. Absent discrete items, the tax rates for the first nine months of 2024 and 2023 were 22.7% and 25.0%, respectively. The decrease in the base rate of 22.7% for the first nine months of 2024, relative to the first nine months of 2023, is primarily due to the mix of jurisdictions where the Company earned its profits coupled with a pre-tax loss in the first nine months of 2023.</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external revenues and operating profit (loss) for the Company's reportable segments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2024 and October 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4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20" w:type="dxa"/>
            <w:vAlign w:val="bottom"/>
          </w:tcPr>
          <w:p>
            <w:pPr>
              <w:spacing w:after="0"/>
              <w:rPr>
                <w:sz w:val="13"/>
                <w:szCs w:val="13"/>
                <w:color w:val="auto"/>
              </w:rPr>
            </w:pPr>
          </w:p>
        </w:tc>
        <w:tc>
          <w:tcPr>
            <w:tcW w:w="1500" w:type="dxa"/>
            <w:vAlign w:val="bottom"/>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64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57"/>
        </w:trPr>
        <w:tc>
          <w:tcPr>
            <w:tcW w:w="20" w:type="dxa"/>
            <w:vAlign w:val="bottom"/>
            <w:shd w:val="clear" w:color="auto" w:fill="CCEEFF"/>
          </w:tcPr>
          <w:p>
            <w:pPr>
              <w:spacing w:after="0"/>
              <w:rPr>
                <w:sz w:val="13"/>
                <w:szCs w:val="13"/>
                <w:color w:val="auto"/>
              </w:rPr>
            </w:pPr>
          </w:p>
        </w:tc>
        <w:tc>
          <w:tcPr>
            <w:tcW w:w="628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3"/>
        </w:trPr>
        <w:tc>
          <w:tcPr>
            <w:tcW w:w="20" w:type="dxa"/>
            <w:vAlign w:val="bottom"/>
            <w:tcBorders>
              <w:bottom w:val="single" w:sz="8" w:color="CCEEFF"/>
            </w:tcBorders>
          </w:tcPr>
          <w:p>
            <w:pPr>
              <w:spacing w:after="0"/>
              <w:rPr>
                <w:sz w:val="18"/>
                <w:szCs w:val="18"/>
                <w:color w:val="auto"/>
              </w:rPr>
            </w:pPr>
          </w:p>
        </w:tc>
        <w:tc>
          <w:tcPr>
            <w:tcW w:w="6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Entertainment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3,714.4</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profit (loss):</w:t>
            </w:r>
          </w:p>
        </w:tc>
        <w:tc>
          <w:tcPr>
            <w:tcW w:w="4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Consumer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Wizards of the Coast and Digital Gaming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Entertainment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6"/>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2"/>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Operating profit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 Products Segment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Consumer Products segment net revenues by major geographic region for the nine months ended September 29,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60" w:type="dxa"/>
            <w:vAlign w:val="bottom"/>
            <w:tcBorders>
              <w:bottom w:val="single" w:sz="8" w:color="auto"/>
            </w:tcBorders>
          </w:tcPr>
          <w:p>
            <w:pPr>
              <w:spacing w:after="0"/>
              <w:rPr>
                <w:sz w:val="18"/>
                <w:szCs w:val="18"/>
                <w:color w:val="auto"/>
              </w:rPr>
            </w:pPr>
          </w:p>
        </w:tc>
      </w:tr>
      <w:tr>
        <w:trPr>
          <w:trHeight w:val="158"/>
        </w:trPr>
        <w:tc>
          <w:tcPr>
            <w:tcW w:w="6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00" w:type="dxa"/>
            <w:vAlign w:val="bottom"/>
          </w:tcPr>
          <w:p>
            <w:pPr>
              <w:spacing w:after="0"/>
              <w:rPr>
                <w:sz w:val="13"/>
                <w:szCs w:val="13"/>
                <w:color w:val="auto"/>
              </w:rPr>
            </w:pPr>
          </w:p>
        </w:tc>
        <w:tc>
          <w:tcPr>
            <w:tcW w:w="1500" w:type="dxa"/>
            <w:vAlign w:val="bottom"/>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66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6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1,234.7</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2,132.5</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Consumer Products segment net revenues decreased 16% to $1,797.6 million for the first nine months of 2024 compared to $2,132.5 million for the first nine months of 2023 primarily driven by broader industry trends, exited businesses, including out-licensing certain brands, shifts in product mix, and reduced closeout sales as a result of last year's inventory clean up initiatives. The net revenue decrease primarily reflects lower net revenues from NERF, TRANSFORMERS, STAR WARS and MARVEL products. Net revenues from TRANSFORMERS products in the first nine months of 2023 were supported by the June 2023 theatrical release of TRANSFORMERS: Rise of the Beasts. The net revenue decrease was also driven by lower net revenues from the Company's products for STAR WARS and MARVEL which benefited from a slate of entertainment releases in prior years without a more recent release entertainment release to support revenue in the first nine months of 2024. These revenue decreases were partially offset by revenue contributions from FURBY products following the Company's reintroduction of the brand and refreshed product line during the second quarter of 2023 and licensing revenue for MY LITTLE PONY trading cards.</w:t>
      </w:r>
    </w:p>
    <w:p>
      <w:pPr>
        <w:spacing w:after="0" w:line="21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Consumer Products segment operating profit for the first nine months of 2024 was $64.8 million or 3.6% of segment net revenues, compared to a segment operating profit of $61.5 million or 2.9% of segment net revenues, for the first nine months of 2023. The increase in operating profit in the first nine months of 2024 was driven by favorable licensing product mix, supply chain productivity, and cost savings realized from cost savings initiatives, partially offset by the lower sale volumes contributions.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auto"/>
        </w:rPr>
        <w:t>Wizards of the Coast and Digital Gaming Segment</w:t>
      </w:r>
    </w:p>
    <w:p>
      <w:pPr>
        <w:spacing w:after="0" w:line="25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following table presents Wizards of the Coast and Digital Gaming segment net revenues by category for the nine months ended September 29, 2024 and October 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60" w:type="dxa"/>
            <w:vAlign w:val="bottom"/>
            <w:tcBorders>
              <w:bottom w:val="single" w:sz="8" w:color="auto"/>
            </w:tcBorders>
          </w:tcPr>
          <w:p>
            <w:pPr>
              <w:spacing w:after="0"/>
              <w:rPr>
                <w:sz w:val="18"/>
                <w:szCs w:val="18"/>
                <w:color w:val="auto"/>
              </w:rPr>
            </w:pPr>
          </w:p>
        </w:tc>
      </w:tr>
      <w:tr>
        <w:trPr>
          <w:trHeight w:val="158"/>
        </w:trPr>
        <w:tc>
          <w:tcPr>
            <w:tcW w:w="6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00" w:type="dxa"/>
            <w:vAlign w:val="bottom"/>
          </w:tcPr>
          <w:p>
            <w:pPr>
              <w:spacing w:after="0"/>
              <w:rPr>
                <w:sz w:val="13"/>
                <w:szCs w:val="13"/>
                <w:color w:val="auto"/>
              </w:rPr>
            </w:pPr>
          </w:p>
        </w:tc>
        <w:tc>
          <w:tcPr>
            <w:tcW w:w="1500" w:type="dxa"/>
            <w:vAlign w:val="bottom"/>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66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6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Tabletop Gaming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Digital and Licensed Gaming</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1,094.4</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Wizards of the Coast and Digital Gaming segment net revenues increased 7% in the first nine months of 2024 to $1,172.3 million from $1,094.4 million in the first nine months of 2023. The net revenue increase in the Wizards of the Coast and Digital Gaming segment during the first nine months of 2024 was primarily attributable to revenue contributions from higher digital licensing of </w:t>
      </w:r>
      <w:r>
        <w:rPr>
          <w:rFonts w:ascii="Times New Roman" w:cs="Times New Roman" w:eastAsia="Times New Roman" w:hAnsi="Times New Roman"/>
          <w:sz w:val="18"/>
          <w:szCs w:val="18"/>
          <w:i w:val="1"/>
          <w:iCs w:val="1"/>
          <w:color w:val="auto"/>
        </w:rPr>
        <w:t>Baldur's Gate 3</w:t>
      </w:r>
      <w:r>
        <w:rPr>
          <w:rFonts w:ascii="Times New Roman" w:cs="Times New Roman" w:eastAsia="Times New Roman" w:hAnsi="Times New Roman"/>
          <w:sz w:val="18"/>
          <w:szCs w:val="18"/>
          <w:color w:val="auto"/>
        </w:rPr>
        <w:t xml:space="preserve">, the DUNGEONS &amp; DRAGONS-based role-playing video game released during the third quarter 2023, and </w:t>
      </w:r>
      <w:r>
        <w:rPr>
          <w:rFonts w:ascii="Times New Roman" w:cs="Times New Roman" w:eastAsia="Times New Roman" w:hAnsi="Times New Roman"/>
          <w:sz w:val="18"/>
          <w:szCs w:val="18"/>
          <w:i w:val="1"/>
          <w:iCs w:val="1"/>
          <w:color w:val="auto"/>
        </w:rPr>
        <w:t>MONOPOLY GO!</w:t>
      </w:r>
      <w:r>
        <w:rPr>
          <w:rFonts w:ascii="Times New Roman" w:cs="Times New Roman" w:eastAsia="Times New Roman" w:hAnsi="Times New Roman"/>
          <w:sz w:val="18"/>
          <w:szCs w:val="18"/>
          <w:color w:val="auto"/>
        </w:rPr>
        <w:t xml:space="preserve">. Tabletop Gaming revenue increased 3% behind growth in MAGIC: THE GATHERING primarily due to strong demand for </w:t>
      </w:r>
      <w:r>
        <w:rPr>
          <w:rFonts w:ascii="Times New Roman" w:cs="Times New Roman" w:eastAsia="Times New Roman" w:hAnsi="Times New Roman"/>
          <w:sz w:val="18"/>
          <w:szCs w:val="18"/>
          <w:i w:val="1"/>
          <w:iCs w:val="1"/>
          <w:color w:val="auto"/>
        </w:rPr>
        <w:t>Bloomburrow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Duskmourn, and Modern Horizons 3.</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Wizards of the Coast and Digital Gaming segment operating profit was $551.1 million, or 47.0% of segment net revenues for the first nine months of 2024, compared to operating profit of $422.5 million, or 38.6% of segment net revenues, for the first nine months of 2023. The operating profit increase during the first nine months of 2024 was driven by increased net revenues, contributions from higher digital licensing revenue mix, lower royalty expense, and cost savings initiatives.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Entertainment Segment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Entertainment segment net revenues by category for the nine months ended September 29, 2024 and October 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60" w:type="dxa"/>
            <w:vAlign w:val="bottom"/>
            <w:tcBorders>
              <w:bottom w:val="single" w:sz="8" w:color="auto"/>
            </w:tcBorders>
          </w:tcPr>
          <w:p>
            <w:pPr>
              <w:spacing w:after="0"/>
              <w:rPr>
                <w:sz w:val="18"/>
                <w:szCs w:val="18"/>
                <w:color w:val="auto"/>
              </w:rPr>
            </w:pPr>
          </w:p>
        </w:tc>
      </w:tr>
      <w:tr>
        <w:trPr>
          <w:trHeight w:val="158"/>
        </w:trPr>
        <w:tc>
          <w:tcPr>
            <w:tcW w:w="6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100" w:type="dxa"/>
            <w:vAlign w:val="bottom"/>
          </w:tcPr>
          <w:p>
            <w:pPr>
              <w:spacing w:after="0"/>
              <w:rPr>
                <w:sz w:val="13"/>
                <w:szCs w:val="13"/>
                <w:color w:val="auto"/>
              </w:rPr>
            </w:pPr>
          </w:p>
        </w:tc>
        <w:tc>
          <w:tcPr>
            <w:tcW w:w="1500" w:type="dxa"/>
            <w:vAlign w:val="bottom"/>
            <w:gridSpan w:val="2"/>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October 1,</w:t>
            </w:r>
          </w:p>
        </w:tc>
        <w:tc>
          <w:tcPr>
            <w:tcW w:w="166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6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Film and TV</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Family Brands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Entertainment segment net revenues decreased 87% to $64.0 million for the first nine months of 2024, compared to $487.5 million for the first nine months of 2023. The net revenue decrease in the Entertainment segment during the first nine months of 2024 was driven by lower net revenues as a result of the sale of the eOne Film and TV business during the fourth quarter of 2023.</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Entertainment segment operating profit was $14.6 million, or 23% of segment net revenues for the first nine months of 2024, compared to an operating loss of $801.4 million, or 164% of segment net revenues for the first nine months of 2023. The increase in Entertainment segment operating results during the first nine months of 2024 was driven by a goodwill impairment charge of $231.2 million and intangible asset impairment charges of $65.0 million recorded during the first nine months of 2023, associated with the impairment review of the Company's Film and TV reporting unit. In the third quarter of 2023, the Entertainment segment recognized a loss on assets held for sale of $473.0 million that related to the sale of the non-core eOne Film and TV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and Other</w:t>
      </w:r>
    </w:p>
    <w:p>
      <w:pPr>
        <w:spacing w:after="0" w:line="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Corporate and Other operating loss was $0.3 million for the first nine months of 2024 compared to an operating loss of $22.8 million for the first nine months of 2023. The decrease in operating loss in the first nine months of 2024 as compared to the first nine months of 2023 reflects cost savings realized from cost savings initiatives and a benefit from an non-recurring adjustment for stock compensation expense reversal recorded in the first quarter of 2024, partially offset by the net impact of the two prior period non-recurring adjustments recorded during the second quarter of 2024. Refer to Note 1 to the consolidated financial statements for further information on these non-recurring adjustments.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 and Contingencies</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enters into purchase orders with vendors and other parties in the ordinary course of business. Refer to Item 7 of our 2023 Annual Report for additional information regarding the Company’s cash obligations and commitments as of the end of fiscal year 2023. Additionally, refer to Note 14 to the consolidated financial statements for a discussion of the Company’s commitments and contingencies. Contractual obligations and commercial commitments, as detailed in the Company's 2023 Form 10-K, did not materially change outside of certain payments made in the normal course of business and as otherwise set forth in this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historically generated a significant amount of cash from operations. The Company primarily funds its operations and liquidity needs through cash on hand and from cash flows from operations, and when needed, borrowings under its commercial paper program and available lines of credit.</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believes that the funds available to it, including cash expected to be generated from operations, funds available through its commercial paper program or its available lines of credit, are adequate to meet its working capital needs for the next twelve months. The Company may also issue debt or equity securities from time to time, to provide additional sources of liquidity when pursuing opportunities to enhance our long-term competitive position, while maintaining a strong balance sheet.</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September 29, 2024, the Company's cash and cash equivalents totaled $696.1 million, and the Company's short-term investments totaled $489.3 million. The majority of the Company’s cash and cash equivalents held outside of the United States as of September 29, 2024, are denominated in the U.S. dollar.</w:t>
      </w:r>
    </w:p>
    <w:p>
      <w:pPr>
        <w:spacing w:after="0" w:line="203"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Under the Company’s commercial paper program, at the request of the Company and subject to market conditions, the Company may issue notes from time to time up to an aggregate principal amount outstanding at any given time of $1.0 billion. The Company intends to use the commercial paper program as its primary short-term borrowing facility. As of September 29, 2024, the Company had no outstanding borrowings related to the commercial paper program.</w:t>
      </w:r>
    </w:p>
    <w:p>
      <w:pPr>
        <w:spacing w:after="0" w:line="1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facility with Bank of America, provides the Company with commitments having a maximum aggregate principal amount of $1.25 billion. The revolving credit facility also provides for a potential additional incremental commitment increase of up to $500.0 million subject to agreement of the lenders. The Company's revolving credit facility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September 29, 2024. The Company had no borrowings outstanding under its revolving credit facility as of September 29, 2024. However, letters of credit outstanding under this facility as of September 29, 2024 were approximately $4.0 million. Amounts available and unused under the revolving credit facility at September 29, 2024 were approximately $1.2 billion, inclusive of borrowings under the Company’s commercial paper program. The Company also has other uncommitted lines from various banks, of which approximately $7.8 million was utilized as of September 29, 2024. Of the amount utilized under, or supported by, the uncommitted lines, the full $7.8 million represented letters of credit.</w:t>
      </w:r>
    </w:p>
    <w:p>
      <w:pPr>
        <w:spacing w:after="0" w:line="2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principal amounts of long-term debt as of September 29, 2024 of $4.0 billion, due at varying times from 2024 through 2044. Of the total principal amount of long-term debt, $500.0 million is current as of September 29, 2024 which represents the Company's 3% fixed-rate notes due November 2024 (the "2024 Notes"). See Note 8 to the Company’s consolidated financial statements for additional information on long-term debt and long-term debt interest repayment, respectively.</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2024, the Company issued an aggregate of $500.0 million of senior unsecured debt securities that bears a fixed interest of 6.05% due 2034 (the "2034 Notes"). In connection with the issuance of the 2034 Notes, the 2034 Notes were issued with an original issuance discount of $1.4 million and capitalized $5.3 million of debt issuance costs. The original issuance discount and debt issuance costs will be amortized over the term of the 2034 Notes. It is anticipated that proceeds from the 2034 Notes, along with existing cash available, will be utilized to repay the 2024 Notes. As of September 29, 2024, the Company had invested the proceeds from the 2034 Notes in short-term investments.</w:t>
      </w:r>
    </w:p>
    <w:p>
      <w:pPr>
        <w:spacing w:after="0" w:line="19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From time to time, the Company or its affiliates may seek to retire or purchase outstanding debt through cash purchases, in open-market purchases, privately negotiated transactions or otherwise. Such repurchases, if any, will be upon such terms and at such prices as we may determine, and will depend on prevailing market conditions, our liquidity requirements, contractual restrictions and other factors.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ind w:right="20"/>
        <w:spacing w:after="0"/>
        <w:rPr>
          <w:sz w:val="20"/>
          <w:szCs w:val="20"/>
          <w:color w:val="auto"/>
        </w:rPr>
      </w:pPr>
      <w:r>
        <w:rPr>
          <w:rFonts w:ascii="Times New Roman" w:cs="Times New Roman" w:eastAsia="Times New Roman" w:hAnsi="Times New Roman"/>
          <w:sz w:val="18"/>
          <w:szCs w:val="18"/>
          <w:color w:val="auto"/>
        </w:rPr>
        <w:t>The Company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obligations confirmed under the supplier finance program that remain unpaid by the Company were $118.7 million, $105.7 million, and</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$43.3 million as of September 29, 2024, October 1, 2023 and December 31, 2023, respectively. These obligations are presented within Accounts payable in the Company's Consolidated Balance Sheets. The activity related to this program is reflected within the operating activities section of the Consolidated Statements of 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5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changes in the Consolidated Statement of Cash Flows, expressed in millions of dollars, for the nine months ended September 29, 2024 and October 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7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29,</w:t>
            </w:r>
          </w:p>
        </w:tc>
        <w:tc>
          <w:tcPr>
            <w:tcW w:w="280" w:type="dxa"/>
            <w:vAlign w:val="bottom"/>
          </w:tcPr>
          <w:p>
            <w:pPr>
              <w:spacing w:after="0"/>
              <w:rPr>
                <w:sz w:val="13"/>
                <w:szCs w:val="13"/>
                <w:color w:val="auto"/>
              </w:rPr>
            </w:pPr>
          </w:p>
        </w:tc>
        <w:tc>
          <w:tcPr>
            <w:tcW w:w="1320" w:type="dxa"/>
            <w:vAlign w:val="bottom"/>
          </w:tcPr>
          <w:p>
            <w:pPr>
              <w:jc w:val="center"/>
              <w:ind w:right="1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October 1,</w:t>
            </w:r>
          </w:p>
        </w:tc>
      </w:tr>
      <w:tr>
        <w:trPr>
          <w:trHeight w:val="214"/>
        </w:trPr>
        <w:tc>
          <w:tcPr>
            <w:tcW w:w="7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(utilized for):</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587.6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334.9</w:t>
            </w: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(635.4)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(162.6)</w:t>
            </w:r>
          </w:p>
        </w:tc>
      </w:tr>
      <w:tr>
        <w:trPr>
          <w:trHeight w:val="210"/>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200" w:type="dxa"/>
            <w:vAlign w:val="bottom"/>
          </w:tcPr>
          <w:p>
            <w:pPr>
              <w:spacing w:after="0"/>
              <w:rPr>
                <w:sz w:val="18"/>
                <w:szCs w:val="18"/>
                <w:color w:val="auto"/>
              </w:rPr>
            </w:pPr>
          </w:p>
        </w:tc>
        <w:tc>
          <w:tcPr>
            <w:tcW w:w="140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190.8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(418.0)</w:t>
            </w:r>
          </w:p>
        </w:tc>
      </w:tr>
    </w:tbl>
    <w:p>
      <w:pPr>
        <w:spacing w:after="0" w:line="3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 the first nine months of 2024 was $587.6 million compared to $334.9 million in the first nine months of 2023. The $252.7 million increase in net cash provided by Operating activities after adjusting for non-cash items, was primarily attributable to improved net income in the first nine months of 2024 compared to first nine months of 2023, and working capital benefits, primarily as a result of the sale of the eOne Film and TV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utilized for Investing activities was $635.4 million in the first nine months of 2024 compared to net cash utilized for Investing activities of $162.6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the first nine months of 2023. Additions to property, plant and equipment were $146.2 million in the first nine months of 2024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$160.4 million in the first nine months of 2023 and purchase of Short-term Investments of $571.0 million in the first nine months of 2024 primarily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proceeds of the 2034 Notes compared to the prior year with no similar activity.</w:t>
      </w:r>
    </w:p>
    <w:p>
      <w:pPr>
        <w:spacing w:after="0" w:line="2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was $190.8 million in the first nine months of 2024 compared to net cash utilized of $418.0 million in the first nine months of 2023. Financing activities in the first nine months of 2024 primarily include $500.0 million of proceeds from issuance of the 2034 Notes, dividends paid of $292.2 million and $13.0 million of payments related to tax withholdings for stock compensation coinciding with equity award vesting activity. Financing activities in the first nine months of 2023 include $290.9 million of dividends paid, $60.0 million of principal amortization payments toward the Company's Five-Year Tranche loan, which was retired during the fourth quarter of 2023 using the proceeds received from the sale of eOne Film and TV, as well as drawdowns of $117.9 million and repayments of $162.0 million related to production financing loans, all of which were assumed by Lionsgate effective upon the closing of the sale of the eOne Film and TV business in the fourth quarter of 2023, and $15.7 million of payments related to tax withholdings for stock compensation coinciding with equity award vesting activity.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recoverability of goodwill and intangible assets and income taxes. These critical accounting policies are detailed in the Company's 2023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 MANAGEMENT</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Japanese Yen, Brazilian real and Mexican peso and, to a lesser extent, other currencies in Latin America and Asia Pacific countries.</w:t>
      </w:r>
    </w:p>
    <w:p>
      <w:pPr>
        <w:spacing w:after="0" w:line="2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 manage this exposure, the Company has hedged a portion of its forecasted foreign currency transactions using foreign exchange forward contracts and foreign exchange option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reflects derivatives at their fair value as an asset or liability on the Consolidated Balance Sheets. The Company does not speculate in foreign currency exchange contracts. See Note 12 to the Company’s consolidated financial statements for further details on the Company's derivatives.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September 29, 2024, the Company had fixed-rate debt of $4.0 billion. The Company may from time to time assess interest rate swaps related to its outstanding debt. The Company did not have any outstanding swaps as of September 29, 2024, October 1, 2023, or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INFLATION</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impact of inflation on the Company's business operations was significant during the first nine months of 2024 and throughout 2023. The Company monitors the impact of inflation to its business operations on an ongoing basis and may need to implement actions such as price adjustments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Part I, Item 2. "Management's Discussion and Analysis of Financial Condition and Results of Operations" and is incorporated herein by reference.</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2" w:name="page43"/>
    <w:bookmarkEnd w:id="42"/>
    <w:p>
      <w:pPr>
        <w:ind w:right="40"/>
        <w:spacing w:after="0" w:line="261" w:lineRule="auto"/>
        <w:rPr>
          <w:sz w:val="20"/>
          <w:szCs w:val="20"/>
          <w:color w:val="auto"/>
        </w:rPr>
      </w:pPr>
      <w:r>
        <w:rPr>
          <w:rFonts w:ascii="Times New Roman" w:cs="Times New Roman" w:eastAsia="Times New Roman" w:hAnsi="Times New Roman"/>
          <w:sz w:val="18"/>
          <w:szCs w:val="18"/>
          <w:color w:val="auto"/>
        </w:rPr>
        <w:t>the supervision and with the participation of the Company's management, including the Company's Chief Executive Officer and Chief Financial Officer, of the effectiveness of the design and operation of the Company's disclosure controls and procedures as of September 29, 2024. Based on the evaluation of these disclosure controls and procedures, the Chief Executive Officer and Chief Financial Officer concluded that the Company's disclosure controls and procedures were effective.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promulgated under the Exchange Act, during the quarter ended September 29,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3" w:name="page44"/>
    <w:bookmarkEnd w:id="43"/>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party to certain legal proceedings, none of which it believes to be material to its business or financial condition.</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212529"/>
        </w:rPr>
        <w:t>In connection with information set forth in this Quarterly Report on Form 10-Q, the risk factors discussed under Item 1A. Risk Factors, in Part I of our 2023 Form 10-K and in our subsequent filings, including in this filing, should be considered. The risks set forth in our 2023 Form 10-K and in our subsequent filings, including in this filing, could materially and adversely affect our business, financial condition, and results of operations. There are no material changes from the risk factors as previously disclosed in our 2023 Form 10-K, in any of our subsequently filed reports or as otherwise set forth in this Quarterly Report.</w:t>
      </w:r>
    </w:p>
    <w:p>
      <w:pPr>
        <w:spacing w:after="0" w:line="20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2018, the Company announced that its Board of Directors authorized the repurchase of an additional $500 million of common stock, its most recent share repurchase authorization.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spacing w:after="0" w:line="2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were no repurchases of the Company’s Common Stock during the nine months ended September 29, 2024. At September 29, 2024, Hasbro had $241.6 million remaining available under its share repurchase authorization.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29, 2024, none of our officers or directors adopted or terminated a “Rule 10b5-1 trading arrangement” or “non-Rule 10b5-1 trading arrangement,” as each term is defined in Item 408(a) and (c) of Regulation S-K.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4" w:name="page45"/>
    <w:bookmarkEnd w:id="4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 [NTD: Legal to review]</w:t>
      </w:r>
    </w:p>
    <w:p>
      <w:pPr>
        <w:spacing w:after="0" w:line="112" w:lineRule="exact"/>
        <w:rPr>
          <w:sz w:val="20"/>
          <w:szCs w:val="20"/>
          <w:color w:val="auto"/>
        </w:rPr>
      </w:pPr>
    </w:p>
    <w:p>
      <w:pPr>
        <w:ind w:left="980" w:right="30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3.1 </w:t>
      </w:r>
      <w:hyperlink r:id="rId53">
        <w:r>
          <w:rPr>
            <w:rFonts w:ascii="Times New Roman" w:cs="Times New Roman" w:eastAsia="Times New Roman" w:hAnsi="Times New Roman"/>
            <w:sz w:val="16"/>
            <w:szCs w:val="16"/>
            <w:u w:val="single" w:color="auto"/>
            <w:color w:val="0000FF"/>
          </w:rPr>
          <w:t>Restated Articles of Incorporation of the Company. (Incorporated by reference to Exhibit 3.1 to the Company's Quarterly Report on Form 10-Q for the</w:t>
        </w:r>
      </w:hyperlink>
      <w:r>
        <w:rPr>
          <w:rFonts w:ascii="Times New Roman" w:cs="Times New Roman" w:eastAsia="Times New Roman" w:hAnsi="Times New Roman"/>
          <w:sz w:val="16"/>
          <w:szCs w:val="16"/>
          <w:color w:val="auto"/>
        </w:rPr>
        <w:t xml:space="preserve"> </w:t>
      </w:r>
      <w:hyperlink r:id="rId53">
        <w:r>
          <w:rPr>
            <w:rFonts w:ascii="Times New Roman" w:cs="Times New Roman" w:eastAsia="Times New Roman" w:hAnsi="Times New Roman"/>
            <w:sz w:val="16"/>
            <w:szCs w:val="16"/>
            <w:u w:val="single" w:color="auto"/>
            <w:color w:val="0000FF"/>
          </w:rPr>
          <w:t>period ended July 2, 2000, File No. 1-6682.)</w:t>
        </w:r>
      </w:hyperlink>
    </w:p>
    <w:p>
      <w:pPr>
        <w:spacing w:after="0" w:line="56" w:lineRule="exact"/>
        <w:rPr>
          <w:sz w:val="20"/>
          <w:szCs w:val="20"/>
          <w:color w:val="auto"/>
        </w:rPr>
      </w:pPr>
    </w:p>
    <w:p>
      <w:pPr>
        <w:ind w:left="980" w:right="4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3.2 </w:t>
      </w:r>
      <w:hyperlink r:id="rId54">
        <w:r>
          <w:rPr>
            <w:rFonts w:ascii="Times New Roman" w:cs="Times New Roman" w:eastAsia="Times New Roman" w:hAnsi="Times New Roman"/>
            <w:sz w:val="16"/>
            <w:szCs w:val="16"/>
            <w:u w:val="single" w:color="auto"/>
            <w:color w:val="0000FF"/>
          </w:rPr>
          <w:t>Amendment to Articles of Incorporation, dated June 28, 2000. (Incorporated by reference to Exhibit 3.4 to the Company's Quarterly Report on Form 10-Q</w:t>
        </w:r>
      </w:hyperlink>
      <w:r>
        <w:rPr>
          <w:rFonts w:ascii="Times New Roman" w:cs="Times New Roman" w:eastAsia="Times New Roman" w:hAnsi="Times New Roman"/>
          <w:sz w:val="16"/>
          <w:szCs w:val="16"/>
          <w:color w:val="auto"/>
        </w:rPr>
        <w:t xml:space="preserve"> </w:t>
      </w:r>
      <w:hyperlink r:id="rId54">
        <w:r>
          <w:rPr>
            <w:rFonts w:ascii="Times New Roman" w:cs="Times New Roman" w:eastAsia="Times New Roman" w:hAnsi="Times New Roman"/>
            <w:sz w:val="16"/>
            <w:szCs w:val="16"/>
            <w:u w:val="single" w:color="auto"/>
            <w:color w:val="0000FF"/>
          </w:rPr>
          <w:t>for the period ended July 2, 2000, File No. 1-6682.)</w:t>
        </w:r>
      </w:hyperlink>
    </w:p>
    <w:p>
      <w:pPr>
        <w:spacing w:after="0" w:line="56" w:lineRule="exact"/>
        <w:rPr>
          <w:sz w:val="20"/>
          <w:szCs w:val="20"/>
          <w:color w:val="auto"/>
        </w:rPr>
      </w:pPr>
    </w:p>
    <w:p>
      <w:pPr>
        <w:ind w:left="980" w:right="4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3.3 </w:t>
      </w:r>
      <w:hyperlink r:id="rId55">
        <w:r>
          <w:rPr>
            <w:rFonts w:ascii="Times New Roman" w:cs="Times New Roman" w:eastAsia="Times New Roman" w:hAnsi="Times New Roman"/>
            <w:sz w:val="16"/>
            <w:szCs w:val="16"/>
            <w:u w:val="single" w:color="auto"/>
            <w:color w:val="0000FF"/>
          </w:rPr>
          <w:t>Amendment to Articles of Incorporation, dated May 19, 2003. (Incorporated by reference to Exhibit 3.3 to the Company's Quarterly Report on Form 10-Q</w:t>
        </w:r>
      </w:hyperlink>
      <w:r>
        <w:rPr>
          <w:rFonts w:ascii="Times New Roman" w:cs="Times New Roman" w:eastAsia="Times New Roman" w:hAnsi="Times New Roman"/>
          <w:sz w:val="16"/>
          <w:szCs w:val="16"/>
          <w:color w:val="auto"/>
        </w:rPr>
        <w:t xml:space="preserve"> </w:t>
      </w:r>
      <w:hyperlink r:id="rId55">
        <w:r>
          <w:rPr>
            <w:rFonts w:ascii="Times New Roman" w:cs="Times New Roman" w:eastAsia="Times New Roman" w:hAnsi="Times New Roman"/>
            <w:sz w:val="16"/>
            <w:szCs w:val="16"/>
            <w:u w:val="single" w:color="auto"/>
            <w:color w:val="0000FF"/>
          </w:rPr>
          <w:t>for the period ended June 29, 2003, File No. 1-6682.)</w:t>
        </w:r>
      </w:hyperlink>
    </w:p>
    <w:p>
      <w:pPr>
        <w:spacing w:after="0" w:line="56" w:lineRule="exact"/>
        <w:rPr>
          <w:sz w:val="20"/>
          <w:szCs w:val="20"/>
          <w:color w:val="auto"/>
        </w:rPr>
      </w:pPr>
    </w:p>
    <w:p>
      <w:pPr>
        <w:ind w:left="980" w:right="26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3.4 </w:t>
      </w:r>
      <w:hyperlink r:id="rId56">
        <w:r>
          <w:rPr>
            <w:rFonts w:ascii="Times New Roman" w:cs="Times New Roman" w:eastAsia="Times New Roman" w:hAnsi="Times New Roman"/>
            <w:sz w:val="16"/>
            <w:szCs w:val="16"/>
            <w:u w:val="single" w:color="auto"/>
            <w:color w:val="0000FF"/>
          </w:rPr>
          <w:t>Second Amended and Restated Bylaws of the Company (Incorporated by reference to Exhibit 3.1 to the Company’s Current Report on Form 8-K dated</w:t>
        </w:r>
      </w:hyperlink>
      <w:r>
        <w:rPr>
          <w:rFonts w:ascii="Times New Roman" w:cs="Times New Roman" w:eastAsia="Times New Roman" w:hAnsi="Times New Roman"/>
          <w:sz w:val="16"/>
          <w:szCs w:val="16"/>
          <w:color w:val="auto"/>
        </w:rPr>
        <w:t xml:space="preserve"> </w:t>
      </w:r>
      <w:hyperlink r:id="rId56">
        <w:r>
          <w:rPr>
            <w:rFonts w:ascii="Times New Roman" w:cs="Times New Roman" w:eastAsia="Times New Roman" w:hAnsi="Times New Roman"/>
            <w:sz w:val="16"/>
            <w:szCs w:val="16"/>
            <w:u w:val="single" w:color="auto"/>
            <w:color w:val="0000FF"/>
          </w:rPr>
          <w:t>September 30, 2022, File No. 1-6682.)</w:t>
        </w:r>
      </w:hyperlink>
    </w:p>
    <w:p>
      <w:pPr>
        <w:spacing w:after="0" w:line="56" w:lineRule="exact"/>
        <w:rPr>
          <w:sz w:val="20"/>
          <w:szCs w:val="20"/>
          <w:color w:val="auto"/>
        </w:rPr>
      </w:pPr>
    </w:p>
    <w:p>
      <w:pPr>
        <w:ind w:left="98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3.5 </w:t>
      </w:r>
      <w:hyperlink r:id="rId57">
        <w:r>
          <w:rPr>
            <w:rFonts w:ascii="Times New Roman" w:cs="Times New Roman" w:eastAsia="Times New Roman" w:hAnsi="Times New Roman"/>
            <w:sz w:val="16"/>
            <w:szCs w:val="16"/>
            <w:u w:val="single" w:color="auto"/>
            <w:color w:val="0000FF"/>
          </w:rPr>
          <w:t>Certificate of Designations of Series C Junior Participating Preference Stock of Hasbro, Inc. dated June 29, 1999. (Incorporated by reference to Exhibit 3.2</w:t>
        </w:r>
      </w:hyperlink>
      <w:r>
        <w:rPr>
          <w:rFonts w:ascii="Times New Roman" w:cs="Times New Roman" w:eastAsia="Times New Roman" w:hAnsi="Times New Roman"/>
          <w:sz w:val="16"/>
          <w:szCs w:val="16"/>
          <w:color w:val="auto"/>
        </w:rPr>
        <w:t xml:space="preserve"> </w:t>
      </w:r>
      <w:hyperlink r:id="rId57">
        <w:r>
          <w:rPr>
            <w:rFonts w:ascii="Times New Roman" w:cs="Times New Roman" w:eastAsia="Times New Roman" w:hAnsi="Times New Roman"/>
            <w:sz w:val="16"/>
            <w:szCs w:val="16"/>
            <w:u w:val="single" w:color="auto"/>
            <w:color w:val="0000FF"/>
          </w:rPr>
          <w:t>to the Company's Quarterly Report on Form 10-Q for the period ended July 2, 2000, File No. 1-6682.)</w:t>
        </w:r>
      </w:hyperlink>
    </w:p>
    <w:p>
      <w:pPr>
        <w:spacing w:after="0" w:line="56" w:lineRule="exact"/>
        <w:rPr>
          <w:sz w:val="20"/>
          <w:szCs w:val="20"/>
          <w:color w:val="auto"/>
        </w:rPr>
      </w:pPr>
    </w:p>
    <w:p>
      <w:pPr>
        <w:ind w:left="980" w:right="10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3.6 </w:t>
      </w:r>
      <w:hyperlink r:id="rId58">
        <w:r>
          <w:rPr>
            <w:rFonts w:ascii="Times New Roman" w:cs="Times New Roman" w:eastAsia="Times New Roman" w:hAnsi="Times New Roman"/>
            <w:sz w:val="16"/>
            <w:szCs w:val="16"/>
            <w:u w:val="single" w:color="auto"/>
            <w:color w:val="0000FF"/>
          </w:rPr>
          <w:t>Certificate of Vote(s) authorizing a decrease of class or series of any class of shares. (Incorporated by reference to Exhibit 3.3 to the Company's Quarterly</w:t>
        </w:r>
      </w:hyperlink>
      <w:r>
        <w:rPr>
          <w:rFonts w:ascii="Times New Roman" w:cs="Times New Roman" w:eastAsia="Times New Roman" w:hAnsi="Times New Roman"/>
          <w:sz w:val="16"/>
          <w:szCs w:val="16"/>
          <w:color w:val="auto"/>
        </w:rPr>
        <w:t xml:space="preserve"> </w:t>
      </w:r>
      <w:hyperlink r:id="rId58">
        <w:r>
          <w:rPr>
            <w:rFonts w:ascii="Times New Roman" w:cs="Times New Roman" w:eastAsia="Times New Roman" w:hAnsi="Times New Roman"/>
            <w:sz w:val="16"/>
            <w:szCs w:val="16"/>
            <w:u w:val="single" w:color="auto"/>
            <w:color w:val="0000FF"/>
          </w:rPr>
          <w:t>Report on Form 10-Q for the period ended July 2, 2000, File No 1-6682.)</w:t>
        </w:r>
      </w:hyperlink>
    </w:p>
    <w:p>
      <w:pPr>
        <w:spacing w:after="0" w:line="56" w:lineRule="exact"/>
        <w:rPr>
          <w:sz w:val="20"/>
          <w:szCs w:val="20"/>
          <w:color w:val="auto"/>
        </w:rPr>
      </w:pPr>
    </w:p>
    <w:p>
      <w:pPr>
        <w:ind w:left="980" w:right="80" w:hanging="287"/>
        <w:spacing w:after="0" w:line="245"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4.1 </w:t>
      </w:r>
      <w:hyperlink r:id="rId59">
        <w:r>
          <w:rPr>
            <w:rFonts w:ascii="Times New Roman" w:cs="Times New Roman" w:eastAsia="Times New Roman" w:hAnsi="Times New Roman"/>
            <w:sz w:val="16"/>
            <w:szCs w:val="16"/>
            <w:u w:val="single" w:color="auto"/>
            <w:color w:val="0000FF"/>
          </w:rPr>
          <w:t>Indenture, dated as of July 17, 1998, by and between the Company and The Bank of New York Mellon Trust Company, N.A. as successor Trustee to</w:t>
        </w:r>
      </w:hyperlink>
      <w:r>
        <w:rPr>
          <w:rFonts w:ascii="Times New Roman" w:cs="Times New Roman" w:eastAsia="Times New Roman" w:hAnsi="Times New Roman"/>
          <w:sz w:val="16"/>
          <w:szCs w:val="16"/>
          <w:color w:val="auto"/>
        </w:rPr>
        <w:t xml:space="preserve"> </w:t>
      </w:r>
      <w:hyperlink r:id="rId59">
        <w:r>
          <w:rPr>
            <w:rFonts w:ascii="Times New Roman" w:cs="Times New Roman" w:eastAsia="Times New Roman" w:hAnsi="Times New Roman"/>
            <w:sz w:val="16"/>
            <w:szCs w:val="16"/>
            <w:u w:val="single" w:color="auto"/>
            <w:color w:val="0000FF"/>
          </w:rPr>
          <w:t>Citibank, N.A. as Trustee. (Incorporated by reference to Exhibit 4.1 to the Company's Current Report on Form 8-K dated July 14, 1998, File No. 1-6682.)</w:t>
        </w:r>
      </w:hyperlink>
    </w:p>
    <w:p>
      <w:pPr>
        <w:spacing w:after="0" w:line="56" w:lineRule="exact"/>
        <w:rPr>
          <w:sz w:val="20"/>
          <w:szCs w:val="20"/>
          <w:color w:val="auto"/>
        </w:rPr>
      </w:pPr>
    </w:p>
    <w:p>
      <w:pPr>
        <w:ind w:left="980" w:right="4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4.2 </w:t>
      </w:r>
      <w:hyperlink r:id="rId60">
        <w:r>
          <w:rPr>
            <w:rFonts w:ascii="Times New Roman" w:cs="Times New Roman" w:eastAsia="Times New Roman" w:hAnsi="Times New Roman"/>
            <w:sz w:val="16"/>
            <w:szCs w:val="16"/>
            <w:u w:val="single" w:color="auto"/>
            <w:color w:val="0000FF"/>
          </w:rPr>
          <w:t>Indenture, dated as of March 15, 2000, by and between the Company and The Bank of New York Mellon Trust Company, N.A. as successor Trustee to the</w:t>
        </w:r>
      </w:hyperlink>
      <w:r>
        <w:rPr>
          <w:rFonts w:ascii="Times New Roman" w:cs="Times New Roman" w:eastAsia="Times New Roman" w:hAnsi="Times New Roman"/>
          <w:sz w:val="16"/>
          <w:szCs w:val="16"/>
          <w:color w:val="auto"/>
        </w:rPr>
        <w:t xml:space="preserve"> </w:t>
      </w:r>
      <w:hyperlink r:id="rId60">
        <w:r>
          <w:rPr>
            <w:rFonts w:ascii="Times New Roman" w:cs="Times New Roman" w:eastAsia="Times New Roman" w:hAnsi="Times New Roman"/>
            <w:sz w:val="16"/>
            <w:szCs w:val="16"/>
            <w:u w:val="single" w:color="auto"/>
            <w:color w:val="0000FF"/>
          </w:rPr>
          <w:t>Bank of Nova Scotia Trust Company of New York. (Incorporated by reference to Exhibit 4(b)(i) to the Company's Annual Report on Form 10-K for the</w:t>
        </w:r>
      </w:hyperlink>
      <w:r>
        <w:rPr>
          <w:rFonts w:ascii="Times New Roman" w:cs="Times New Roman" w:eastAsia="Times New Roman" w:hAnsi="Times New Roman"/>
          <w:sz w:val="16"/>
          <w:szCs w:val="16"/>
          <w:u w:val="single" w:color="auto"/>
          <w:color w:val="0000FF"/>
        </w:rPr>
        <w:t xml:space="preserve"> </w:t>
      </w:r>
      <w:hyperlink r:id="rId60">
        <w:r>
          <w:rPr>
            <w:rFonts w:ascii="Times New Roman" w:cs="Times New Roman" w:eastAsia="Times New Roman" w:hAnsi="Times New Roman"/>
            <w:sz w:val="16"/>
            <w:szCs w:val="16"/>
            <w:u w:val="single" w:color="auto"/>
            <w:color w:val="0000FF"/>
          </w:rPr>
          <w:t>fiscal year ended December 26, 1999, File No. 1-6682.)</w:t>
        </w:r>
      </w:hyperlink>
    </w:p>
    <w:p>
      <w:pPr>
        <w:spacing w:after="0" w:line="60" w:lineRule="exact"/>
        <w:rPr>
          <w:rFonts w:ascii="Times New Roman" w:cs="Times New Roman" w:eastAsia="Times New Roman" w:hAnsi="Times New Roman"/>
          <w:sz w:val="16"/>
          <w:szCs w:val="16"/>
          <w:color w:val="auto"/>
        </w:rPr>
      </w:pPr>
    </w:p>
    <w:p>
      <w:pPr>
        <w:ind w:left="980" w:right="6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4.3 </w:t>
      </w:r>
      <w:hyperlink r:id="rId61">
        <w:r>
          <w:rPr>
            <w:rFonts w:ascii="Times New Roman" w:cs="Times New Roman" w:eastAsia="Times New Roman" w:hAnsi="Times New Roman"/>
            <w:sz w:val="16"/>
            <w:szCs w:val="16"/>
            <w:u w:val="single" w:color="auto"/>
            <w:color w:val="0000FF"/>
          </w:rPr>
          <w:t>First Supplemental Indenture, dated as of September 17, 2007, between the Company and The Bank of New York Mellon Trust Company, N.A. as</w:t>
        </w:r>
      </w:hyperlink>
      <w:r>
        <w:rPr>
          <w:rFonts w:ascii="Times New Roman" w:cs="Times New Roman" w:eastAsia="Times New Roman" w:hAnsi="Times New Roman"/>
          <w:sz w:val="16"/>
          <w:szCs w:val="16"/>
          <w:color w:val="auto"/>
        </w:rPr>
        <w:t xml:space="preserve"> </w:t>
      </w:r>
      <w:hyperlink r:id="rId61">
        <w:r>
          <w:rPr>
            <w:rFonts w:ascii="Times New Roman" w:cs="Times New Roman" w:eastAsia="Times New Roman" w:hAnsi="Times New Roman"/>
            <w:sz w:val="16"/>
            <w:szCs w:val="16"/>
            <w:u w:val="single" w:color="auto"/>
            <w:color w:val="0000FF"/>
          </w:rPr>
          <w:t>successor Trustee to the Bank of Nova Scotia Trust Company of New York. (Incorporated by reference to Exhibit 4.1 to the Company's Current Report on</w:t>
        </w:r>
      </w:hyperlink>
      <w:r>
        <w:rPr>
          <w:rFonts w:ascii="Times New Roman" w:cs="Times New Roman" w:eastAsia="Times New Roman" w:hAnsi="Times New Roman"/>
          <w:sz w:val="16"/>
          <w:szCs w:val="16"/>
          <w:u w:val="single" w:color="auto"/>
          <w:color w:val="0000FF"/>
        </w:rPr>
        <w:t xml:space="preserve"> </w:t>
      </w:r>
      <w:hyperlink r:id="rId61">
        <w:r>
          <w:rPr>
            <w:rFonts w:ascii="Times New Roman" w:cs="Times New Roman" w:eastAsia="Times New Roman" w:hAnsi="Times New Roman"/>
            <w:sz w:val="16"/>
            <w:szCs w:val="16"/>
            <w:u w:val="single" w:color="auto"/>
            <w:color w:val="0000FF"/>
          </w:rPr>
          <w:t>Form 8-K filed September 17, 2007, File No. 1-6682.)</w:t>
        </w:r>
      </w:hyperlink>
    </w:p>
    <w:p>
      <w:pPr>
        <w:spacing w:after="0" w:line="60" w:lineRule="exact"/>
        <w:rPr>
          <w:rFonts w:ascii="Times New Roman" w:cs="Times New Roman" w:eastAsia="Times New Roman" w:hAnsi="Times New Roman"/>
          <w:sz w:val="16"/>
          <w:szCs w:val="16"/>
          <w:color w:val="auto"/>
        </w:rPr>
      </w:pPr>
    </w:p>
    <w:p>
      <w:pPr>
        <w:jc w:val="both"/>
        <w:ind w:left="980" w:right="4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4.4 </w:t>
      </w:r>
      <w:hyperlink r:id="rId62">
        <w:r>
          <w:rPr>
            <w:rFonts w:ascii="Times New Roman" w:cs="Times New Roman" w:eastAsia="Times New Roman" w:hAnsi="Times New Roman"/>
            <w:sz w:val="16"/>
            <w:szCs w:val="16"/>
            <w:u w:val="single" w:color="auto"/>
            <w:color w:val="0000FF"/>
          </w:rPr>
          <w:t>Second Supplemental Indenture, dated as of May 13, 2009, between the Company and The Bank of New York Mellon Trust Company, N.A. as successor</w:t>
        </w:r>
      </w:hyperlink>
      <w:r>
        <w:rPr>
          <w:rFonts w:ascii="Times New Roman" w:cs="Times New Roman" w:eastAsia="Times New Roman" w:hAnsi="Times New Roman"/>
          <w:sz w:val="16"/>
          <w:szCs w:val="16"/>
          <w:color w:val="auto"/>
        </w:rPr>
        <w:t xml:space="preserve"> </w:t>
      </w:r>
      <w:hyperlink r:id="rId62">
        <w:r>
          <w:rPr>
            <w:rFonts w:ascii="Times New Roman" w:cs="Times New Roman" w:eastAsia="Times New Roman" w:hAnsi="Times New Roman"/>
            <w:sz w:val="16"/>
            <w:szCs w:val="16"/>
            <w:u w:val="single" w:color="auto"/>
            <w:color w:val="0000FF"/>
          </w:rPr>
          <w:t>Trustee to the Bank of Nova Scotia Trust Company of New York. (Incorporated by reference to Exhibit 4.1 to the Company's Current Report on Form 8-K</w:t>
        </w:r>
      </w:hyperlink>
      <w:r>
        <w:rPr>
          <w:rFonts w:ascii="Times New Roman" w:cs="Times New Roman" w:eastAsia="Times New Roman" w:hAnsi="Times New Roman"/>
          <w:sz w:val="16"/>
          <w:szCs w:val="16"/>
          <w:u w:val="single" w:color="auto"/>
          <w:color w:val="0000FF"/>
        </w:rPr>
        <w:t xml:space="preserve"> </w:t>
      </w:r>
      <w:hyperlink r:id="rId62">
        <w:r>
          <w:rPr>
            <w:rFonts w:ascii="Times New Roman" w:cs="Times New Roman" w:eastAsia="Times New Roman" w:hAnsi="Times New Roman"/>
            <w:sz w:val="16"/>
            <w:szCs w:val="16"/>
            <w:u w:val="single" w:color="auto"/>
            <w:color w:val="0000FF"/>
          </w:rPr>
          <w:t>filed May 13, 2009, File No. 1-6682.)</w:t>
        </w:r>
      </w:hyperlink>
    </w:p>
    <w:p>
      <w:pPr>
        <w:spacing w:after="0" w:line="60" w:lineRule="exact"/>
        <w:rPr>
          <w:rFonts w:ascii="Times New Roman" w:cs="Times New Roman" w:eastAsia="Times New Roman" w:hAnsi="Times New Roman"/>
          <w:sz w:val="16"/>
          <w:szCs w:val="16"/>
          <w:color w:val="auto"/>
        </w:rPr>
      </w:pPr>
    </w:p>
    <w:p>
      <w:pPr>
        <w:jc w:val="both"/>
        <w:ind w:left="980" w:right="4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4.5 </w:t>
      </w:r>
      <w:hyperlink r:id="rId63">
        <w:r>
          <w:rPr>
            <w:rFonts w:ascii="Times New Roman" w:cs="Times New Roman" w:eastAsia="Times New Roman" w:hAnsi="Times New Roman"/>
            <w:sz w:val="16"/>
            <w:szCs w:val="16"/>
            <w:u w:val="single" w:color="auto"/>
            <w:color w:val="0000FF"/>
          </w:rPr>
          <w:t>Third Supplemental Indenture, dated as of March 11, 2010, between the Company and The Bank of New York Mellon Trust Company, N.A. as successor</w:t>
        </w:r>
      </w:hyperlink>
      <w:r>
        <w:rPr>
          <w:rFonts w:ascii="Times New Roman" w:cs="Times New Roman" w:eastAsia="Times New Roman" w:hAnsi="Times New Roman"/>
          <w:sz w:val="16"/>
          <w:szCs w:val="16"/>
          <w:color w:val="auto"/>
        </w:rPr>
        <w:t xml:space="preserve"> </w:t>
      </w:r>
      <w:hyperlink r:id="rId63">
        <w:r>
          <w:rPr>
            <w:rFonts w:ascii="Times New Roman" w:cs="Times New Roman" w:eastAsia="Times New Roman" w:hAnsi="Times New Roman"/>
            <w:sz w:val="16"/>
            <w:szCs w:val="16"/>
            <w:u w:val="single" w:color="auto"/>
            <w:color w:val="0000FF"/>
          </w:rPr>
          <w:t>Trustee to the Bank of Nova Scotia Trust Company of New York. (Incorporated by reference to Exhibit 4.1 to the Company's Current Report on Form 8-K</w:t>
        </w:r>
      </w:hyperlink>
      <w:r>
        <w:rPr>
          <w:rFonts w:ascii="Times New Roman" w:cs="Times New Roman" w:eastAsia="Times New Roman" w:hAnsi="Times New Roman"/>
          <w:sz w:val="16"/>
          <w:szCs w:val="16"/>
          <w:u w:val="single" w:color="auto"/>
          <w:color w:val="0000FF"/>
        </w:rPr>
        <w:t xml:space="preserve"> </w:t>
      </w:r>
      <w:hyperlink r:id="rId63">
        <w:r>
          <w:rPr>
            <w:rFonts w:ascii="Times New Roman" w:cs="Times New Roman" w:eastAsia="Times New Roman" w:hAnsi="Times New Roman"/>
            <w:sz w:val="16"/>
            <w:szCs w:val="16"/>
            <w:u w:val="single" w:color="auto"/>
            <w:color w:val="0000FF"/>
          </w:rPr>
          <w:t>filed March 11, 2010, File No. 1-6682.)</w:t>
        </w:r>
      </w:hyperlink>
    </w:p>
    <w:p>
      <w:pPr>
        <w:spacing w:after="0" w:line="60" w:lineRule="exact"/>
        <w:rPr>
          <w:rFonts w:ascii="Times New Roman" w:cs="Times New Roman" w:eastAsia="Times New Roman" w:hAnsi="Times New Roman"/>
          <w:sz w:val="16"/>
          <w:szCs w:val="16"/>
          <w:color w:val="auto"/>
        </w:rPr>
      </w:pPr>
    </w:p>
    <w:p>
      <w:pPr>
        <w:ind w:left="98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4.6 </w:t>
      </w:r>
      <w:hyperlink r:id="rId64">
        <w:r>
          <w:rPr>
            <w:rFonts w:ascii="Times New Roman" w:cs="Times New Roman" w:eastAsia="Times New Roman" w:hAnsi="Times New Roman"/>
            <w:sz w:val="16"/>
            <w:szCs w:val="16"/>
            <w:u w:val="single" w:color="auto"/>
            <w:color w:val="0000FF"/>
          </w:rPr>
          <w:t>Fourth Supplemental Indenture, dated May 13, 2014, between the Company and The Bank of New York Mellon Trust Company, N.A. as successor Trustee</w:t>
        </w:r>
      </w:hyperlink>
      <w:r>
        <w:rPr>
          <w:rFonts w:ascii="Times New Roman" w:cs="Times New Roman" w:eastAsia="Times New Roman" w:hAnsi="Times New Roman"/>
          <w:sz w:val="16"/>
          <w:szCs w:val="16"/>
          <w:color w:val="auto"/>
        </w:rPr>
        <w:t xml:space="preserve"> </w:t>
      </w:r>
      <w:hyperlink r:id="rId64">
        <w:r>
          <w:rPr>
            <w:rFonts w:ascii="Times New Roman" w:cs="Times New Roman" w:eastAsia="Times New Roman" w:hAnsi="Times New Roman"/>
            <w:sz w:val="16"/>
            <w:szCs w:val="16"/>
            <w:u w:val="single" w:color="auto"/>
            <w:color w:val="0000FF"/>
          </w:rPr>
          <w:t>to the Bank of Nova Scotia Trust Company of New York. (Incorporated by reference to Exhibit 4.1 to the Company's Current Report on Form 8-K filed</w:t>
        </w:r>
      </w:hyperlink>
      <w:r>
        <w:rPr>
          <w:rFonts w:ascii="Times New Roman" w:cs="Times New Roman" w:eastAsia="Times New Roman" w:hAnsi="Times New Roman"/>
          <w:sz w:val="16"/>
          <w:szCs w:val="16"/>
          <w:u w:val="single" w:color="auto"/>
          <w:color w:val="0000FF"/>
        </w:rPr>
        <w:t xml:space="preserve"> </w:t>
      </w:r>
      <w:hyperlink r:id="rId64">
        <w:r>
          <w:rPr>
            <w:rFonts w:ascii="Times New Roman" w:cs="Times New Roman" w:eastAsia="Times New Roman" w:hAnsi="Times New Roman"/>
            <w:sz w:val="16"/>
            <w:szCs w:val="16"/>
            <w:u w:val="single" w:color="auto"/>
            <w:color w:val="0000FF"/>
          </w:rPr>
          <w:t>May 13, 2014, file No. 1-6682.)</w:t>
        </w:r>
      </w:hyperlink>
    </w:p>
    <w:p>
      <w:pPr>
        <w:spacing w:after="0" w:line="60" w:lineRule="exact"/>
        <w:rPr>
          <w:rFonts w:ascii="Times New Roman" w:cs="Times New Roman" w:eastAsia="Times New Roman" w:hAnsi="Times New Roman"/>
          <w:sz w:val="16"/>
          <w:szCs w:val="16"/>
          <w:color w:val="auto"/>
        </w:rPr>
      </w:pPr>
    </w:p>
    <w:p>
      <w:pPr>
        <w:ind w:left="98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4.7 </w:t>
      </w:r>
      <w:hyperlink r:id="rId65">
        <w:r>
          <w:rPr>
            <w:rFonts w:ascii="Times New Roman" w:cs="Times New Roman" w:eastAsia="Times New Roman" w:hAnsi="Times New Roman"/>
            <w:sz w:val="16"/>
            <w:szCs w:val="16"/>
            <w:u w:val="single" w:color="auto"/>
            <w:color w:val="0000FF"/>
          </w:rPr>
          <w:t>Fifth Supplemental Indenture, dated September 13, 2017, between the Company and The Bank of New York Mellon Trust Company, N.A. as successor</w:t>
        </w:r>
      </w:hyperlink>
      <w:r>
        <w:rPr>
          <w:rFonts w:ascii="Times New Roman" w:cs="Times New Roman" w:eastAsia="Times New Roman" w:hAnsi="Times New Roman"/>
          <w:sz w:val="16"/>
          <w:szCs w:val="16"/>
          <w:color w:val="auto"/>
        </w:rPr>
        <w:t xml:space="preserve"> </w:t>
      </w:r>
      <w:hyperlink r:id="rId65">
        <w:r>
          <w:rPr>
            <w:rFonts w:ascii="Times New Roman" w:cs="Times New Roman" w:eastAsia="Times New Roman" w:hAnsi="Times New Roman"/>
            <w:sz w:val="16"/>
            <w:szCs w:val="16"/>
            <w:u w:val="single" w:color="auto"/>
            <w:color w:val="0000FF"/>
          </w:rPr>
          <w:t>Trustee to the Bank of Nova Scotia Trust Company of New York. (Incorporated by reference to Exhibit 4.1 to the Company's Current Report on Form 8-K</w:t>
        </w:r>
      </w:hyperlink>
      <w:r>
        <w:rPr>
          <w:rFonts w:ascii="Times New Roman" w:cs="Times New Roman" w:eastAsia="Times New Roman" w:hAnsi="Times New Roman"/>
          <w:sz w:val="16"/>
          <w:szCs w:val="16"/>
          <w:u w:val="single" w:color="auto"/>
          <w:color w:val="0000FF"/>
        </w:rPr>
        <w:t xml:space="preserve"> </w:t>
      </w:r>
      <w:hyperlink r:id="rId65">
        <w:r>
          <w:rPr>
            <w:rFonts w:ascii="Times New Roman" w:cs="Times New Roman" w:eastAsia="Times New Roman" w:hAnsi="Times New Roman"/>
            <w:sz w:val="16"/>
            <w:szCs w:val="16"/>
            <w:u w:val="single" w:color="auto"/>
            <w:color w:val="0000FF"/>
          </w:rPr>
          <w:t>filed September 13, 2017, file No. 1-6682.)</w:t>
        </w:r>
      </w:hyperlink>
    </w:p>
    <w:p>
      <w:pPr>
        <w:spacing w:after="0" w:line="60" w:lineRule="exact"/>
        <w:rPr>
          <w:rFonts w:ascii="Times New Roman" w:cs="Times New Roman" w:eastAsia="Times New Roman" w:hAnsi="Times New Roman"/>
          <w:sz w:val="16"/>
          <w:szCs w:val="16"/>
          <w:color w:val="auto"/>
        </w:rPr>
      </w:pPr>
    </w:p>
    <w:p>
      <w:pPr>
        <w:ind w:left="980" w:right="6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4.8 </w:t>
      </w:r>
      <w:hyperlink r:id="rId66">
        <w:r>
          <w:rPr>
            <w:rFonts w:ascii="Times New Roman" w:cs="Times New Roman" w:eastAsia="Times New Roman" w:hAnsi="Times New Roman"/>
            <w:sz w:val="16"/>
            <w:szCs w:val="16"/>
            <w:u w:val="single" w:color="auto"/>
            <w:color w:val="0000FF"/>
          </w:rPr>
          <w:t>Sixth Supplemental Indenture dated as of November 19, 2019, among the Company and The Bank of New York Mellon Trust Company, N.A. and U.S.</w:t>
        </w:r>
      </w:hyperlink>
      <w:r>
        <w:rPr>
          <w:rFonts w:ascii="Times New Roman" w:cs="Times New Roman" w:eastAsia="Times New Roman" w:hAnsi="Times New Roman"/>
          <w:sz w:val="16"/>
          <w:szCs w:val="16"/>
          <w:color w:val="auto"/>
        </w:rPr>
        <w:t xml:space="preserve"> </w:t>
      </w:r>
      <w:hyperlink r:id="rId66">
        <w:r>
          <w:rPr>
            <w:rFonts w:ascii="Times New Roman" w:cs="Times New Roman" w:eastAsia="Times New Roman" w:hAnsi="Times New Roman"/>
            <w:sz w:val="16"/>
            <w:szCs w:val="16"/>
            <w:u w:val="single" w:color="auto"/>
            <w:color w:val="0000FF"/>
          </w:rPr>
          <w:t>Bank, National Association, supplementing the Indenture dated as of March 15, 2000. (Incorporated by reference to Exhibit 1.2 to the Company’s Current</w:t>
        </w:r>
      </w:hyperlink>
      <w:r>
        <w:rPr>
          <w:rFonts w:ascii="Times New Roman" w:cs="Times New Roman" w:eastAsia="Times New Roman" w:hAnsi="Times New Roman"/>
          <w:sz w:val="16"/>
          <w:szCs w:val="16"/>
          <w:u w:val="single" w:color="auto"/>
          <w:color w:val="0000FF"/>
        </w:rPr>
        <w:t xml:space="preserve"> </w:t>
      </w:r>
      <w:hyperlink r:id="rId66">
        <w:r>
          <w:rPr>
            <w:rFonts w:ascii="Times New Roman" w:cs="Times New Roman" w:eastAsia="Times New Roman" w:hAnsi="Times New Roman"/>
            <w:sz w:val="16"/>
            <w:szCs w:val="16"/>
            <w:u w:val="single" w:color="auto"/>
            <w:color w:val="0000FF"/>
          </w:rPr>
          <w:t>Report on Form 8-K filed November 19, 2019, File No. 1-6682.)</w:t>
        </w:r>
      </w:hyperlink>
    </w:p>
    <w:p>
      <w:pPr>
        <w:spacing w:after="0" w:line="60" w:lineRule="exact"/>
        <w:rPr>
          <w:rFonts w:ascii="Times New Roman" w:cs="Times New Roman" w:eastAsia="Times New Roman" w:hAnsi="Times New Roman"/>
          <w:sz w:val="16"/>
          <w:szCs w:val="16"/>
          <w:color w:val="auto"/>
        </w:rPr>
      </w:pPr>
    </w:p>
    <w:p>
      <w:pPr>
        <w:jc w:val="both"/>
        <w:ind w:left="980" w:hanging="287"/>
        <w:spacing w:after="0" w:line="232"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4.9 </w:t>
      </w:r>
      <w:hyperlink r:id="rId67">
        <w:r>
          <w:rPr>
            <w:rFonts w:ascii="Times New Roman" w:cs="Times New Roman" w:eastAsia="Times New Roman" w:hAnsi="Times New Roman"/>
            <w:sz w:val="16"/>
            <w:szCs w:val="16"/>
            <w:u w:val="single" w:color="auto"/>
            <w:color w:val="0000FF"/>
          </w:rPr>
          <w:t>Seventh Supplemental Indenture dated as of May 14, 2024, among the Company and The Bank of New York Mellon Trust Company, N.A. and U.S. Bank,</w:t>
        </w:r>
      </w:hyperlink>
      <w:r>
        <w:rPr>
          <w:rFonts w:ascii="Times New Roman" w:cs="Times New Roman" w:eastAsia="Times New Roman" w:hAnsi="Times New Roman"/>
          <w:sz w:val="16"/>
          <w:szCs w:val="16"/>
          <w:color w:val="auto"/>
        </w:rPr>
        <w:t xml:space="preserve"> </w:t>
      </w:r>
      <w:hyperlink r:id="rId67">
        <w:r>
          <w:rPr>
            <w:rFonts w:ascii="Times New Roman" w:cs="Times New Roman" w:eastAsia="Times New Roman" w:hAnsi="Times New Roman"/>
            <w:sz w:val="16"/>
            <w:szCs w:val="16"/>
            <w:u w:val="single" w:color="auto"/>
            <w:color w:val="0000FF"/>
          </w:rPr>
          <w:t>National Association, supplementing the Indenture dated as of March 15, 2000. (Incorporated by reference to Exhibit 4.1 to the Company’s Current Report</w:t>
        </w:r>
      </w:hyperlink>
      <w:r>
        <w:rPr>
          <w:rFonts w:ascii="Times New Roman" w:cs="Times New Roman" w:eastAsia="Times New Roman" w:hAnsi="Times New Roman"/>
          <w:sz w:val="16"/>
          <w:szCs w:val="16"/>
          <w:u w:val="single" w:color="auto"/>
          <w:color w:val="0000FF"/>
        </w:rPr>
        <w:t xml:space="preserve"> </w:t>
      </w:r>
      <w:hyperlink r:id="rId67">
        <w:r>
          <w:rPr>
            <w:rFonts w:ascii="Times New Roman" w:cs="Times New Roman" w:eastAsia="Times New Roman" w:hAnsi="Times New Roman"/>
            <w:sz w:val="16"/>
            <w:szCs w:val="16"/>
            <w:u w:val="single" w:color="auto"/>
            <w:color w:val="0000FF"/>
          </w:rPr>
          <w:t>on Form 8-K filed May 14, 2024, File No. 1-6682.)</w:t>
        </w:r>
      </w:hyperlink>
    </w:p>
    <w:p>
      <w:pPr>
        <w:spacing w:after="0" w:line="60" w:lineRule="exact"/>
        <w:rPr>
          <w:rFonts w:ascii="Times New Roman" w:cs="Times New Roman" w:eastAsia="Times New Roman" w:hAnsi="Times New Roman"/>
          <w:sz w:val="16"/>
          <w:szCs w:val="16"/>
          <w:color w:val="auto"/>
        </w:rPr>
      </w:pPr>
    </w:p>
    <w:p>
      <w:pPr>
        <w:ind w:left="500"/>
        <w:spacing w:after="0"/>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u w:val="single" w:color="auto"/>
          <w:color w:val="0000FF"/>
        </w:rPr>
        <w:t>Hasbro, Inc. 2024 Performance Rewards Program</w:t>
      </w:r>
    </w:p>
    <w:p>
      <w:pPr>
        <w:spacing w:after="0" w:line="86" w:lineRule="exact"/>
        <w:rPr>
          <w:rFonts w:ascii="Times New Roman" w:cs="Times New Roman" w:eastAsia="Times New Roman" w:hAnsi="Times New Roman"/>
          <w:sz w:val="16"/>
          <w:szCs w:val="16"/>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0000FF"/>
        </w:rPr>
        <w:t>Certification of the Chief Executive Officer Pursuant to Rule 13a-14(a) under the Securities Exchange Act of 1934.</w:t>
      </w:r>
    </w:p>
    <w:p>
      <w:pPr>
        <w:spacing w:after="0" w:line="86" w:lineRule="exact"/>
        <w:rPr>
          <w:rFonts w:ascii="Times New Roman" w:cs="Times New Roman" w:eastAsia="Times New Roman" w:hAnsi="Times New Roman"/>
          <w:sz w:val="16"/>
          <w:szCs w:val="16"/>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0000FF"/>
        </w:rPr>
        <w:t>Certification of the Chief Financial Officer Pursuant to Rule 13a-14(a) under the Securities Exchange Act of 1934.</w:t>
      </w:r>
    </w:p>
    <w:p>
      <w:pPr>
        <w:spacing w:after="0" w:line="127" w:lineRule="exact"/>
        <w:rPr>
          <w:rFonts w:ascii="Times New Roman" w:cs="Times New Roman" w:eastAsia="Times New Roman" w:hAnsi="Times New Roman"/>
          <w:sz w:val="16"/>
          <w:szCs w:val="16"/>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u w:val="single" w:color="auto"/>
          <w:color w:val="0000FF"/>
        </w:rPr>
        <w:t>Certification of the Chief Executive Officer Pursuant to Rule 13a-14(b) under the Securities Exchange Act of 1934.</w:t>
      </w:r>
    </w:p>
    <w:p>
      <w:pPr>
        <w:spacing w:after="0" w:line="86" w:lineRule="exact"/>
        <w:rPr>
          <w:rFonts w:ascii="Times New Roman" w:cs="Times New Roman" w:eastAsia="Times New Roman" w:hAnsi="Times New Roman"/>
          <w:sz w:val="16"/>
          <w:szCs w:val="16"/>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0000FF"/>
        </w:rPr>
        <w:t>Certification of the Chief Financial Officer Pursuant to Rule 13a-14(b) under the Securities Exchange Act of 1934.</w:t>
      </w:r>
    </w:p>
    <w:p>
      <w:pPr>
        <w:spacing w:after="0" w:line="86" w:lineRule="exact"/>
        <w:rPr>
          <w:rFonts w:ascii="Times New Roman" w:cs="Times New Roman" w:eastAsia="Times New Roman" w:hAnsi="Times New Roman"/>
          <w:sz w:val="16"/>
          <w:szCs w:val="16"/>
          <w:color w:val="auto"/>
        </w:rPr>
      </w:pPr>
    </w:p>
    <w:p>
      <w:pPr>
        <w:ind w:left="980" w:right="340" w:hanging="579"/>
        <w:spacing w:after="0" w:line="245" w:lineRule="auto"/>
        <w:rPr>
          <w:sz w:val="20"/>
          <w:szCs w:val="20"/>
          <w:color w:val="auto"/>
        </w:rPr>
      </w:pPr>
      <w:r>
        <w:rPr>
          <w:rFonts w:ascii="Times New Roman" w:cs="Times New Roman" w:eastAsia="Times New Roman" w:hAnsi="Times New Roman"/>
          <w:sz w:val="16"/>
          <w:szCs w:val="16"/>
          <w:color w:val="auto"/>
        </w:rPr>
        <w:t>101.INS XBRL Instance Document - the instance document does not appear in the Interactive Data File because its XBRL tags are embedded within the Inline XBRL Document.</w:t>
      </w:r>
    </w:p>
    <w:p>
      <w:pPr>
        <w:spacing w:after="0" w:line="56" w:lineRule="exact"/>
        <w:rPr>
          <w:rFonts w:ascii="Times New Roman" w:cs="Times New Roman" w:eastAsia="Times New Roman" w:hAnsi="Times New Roman"/>
          <w:sz w:val="16"/>
          <w:szCs w:val="16"/>
          <w:color w:val="auto"/>
        </w:rPr>
      </w:pPr>
    </w:p>
    <w:p>
      <w:pPr>
        <w:ind w:left="360"/>
        <w:spacing w:after="0"/>
        <w:rPr>
          <w:sz w:val="20"/>
          <w:szCs w:val="20"/>
          <w:color w:val="auto"/>
        </w:rPr>
      </w:pPr>
      <w:r>
        <w:rPr>
          <w:rFonts w:ascii="Times New Roman" w:cs="Times New Roman" w:eastAsia="Times New Roman" w:hAnsi="Times New Roman"/>
          <w:sz w:val="16"/>
          <w:szCs w:val="16"/>
          <w:color w:val="auto"/>
        </w:rPr>
        <w:t>101.SCH XBRL Taxonomy Extension Schema Document</w:t>
      </w:r>
    </w:p>
    <w:p>
      <w:pPr>
        <w:spacing w:after="0" w:line="86" w:lineRule="exact"/>
        <w:rPr>
          <w:rFonts w:ascii="Times New Roman" w:cs="Times New Roman" w:eastAsia="Times New Roman" w:hAnsi="Times New Roman"/>
          <w:sz w:val="16"/>
          <w:szCs w:val="16"/>
          <w:color w:val="auto"/>
        </w:rPr>
      </w:pPr>
    </w:p>
    <w:p>
      <w:pPr>
        <w:ind w:left="340"/>
        <w:spacing w:after="0"/>
        <w:rPr>
          <w:sz w:val="20"/>
          <w:szCs w:val="20"/>
          <w:color w:val="auto"/>
        </w:rPr>
      </w:pPr>
      <w:r>
        <w:rPr>
          <w:rFonts w:ascii="Times New Roman" w:cs="Times New Roman" w:eastAsia="Times New Roman" w:hAnsi="Times New Roman"/>
          <w:sz w:val="16"/>
          <w:szCs w:val="16"/>
          <w:color w:val="auto"/>
        </w:rPr>
        <w:t>101.CAL XBRL Taxonomy Extension Calculation Linkbase Document</w:t>
      </w:r>
    </w:p>
    <w:p>
      <w:pPr>
        <w:spacing w:after="0" w:line="86" w:lineRule="exact"/>
        <w:rPr>
          <w:rFonts w:ascii="Times New Roman" w:cs="Times New Roman" w:eastAsia="Times New Roman" w:hAnsi="Times New Roman"/>
          <w:sz w:val="16"/>
          <w:szCs w:val="16"/>
          <w:color w:val="auto"/>
        </w:rPr>
      </w:pPr>
    </w:p>
    <w:p>
      <w:pPr>
        <w:ind w:left="340"/>
        <w:spacing w:after="0"/>
        <w:rPr>
          <w:sz w:val="20"/>
          <w:szCs w:val="20"/>
          <w:color w:val="auto"/>
        </w:rPr>
      </w:pPr>
      <w:r>
        <w:rPr>
          <w:rFonts w:ascii="Times New Roman" w:cs="Times New Roman" w:eastAsia="Times New Roman" w:hAnsi="Times New Roman"/>
          <w:sz w:val="16"/>
          <w:szCs w:val="16"/>
          <w:color w:val="auto"/>
        </w:rPr>
        <w:t>101.LAB XBRL Taxonomy Extension Labels Linkbase Document</w:t>
      </w:r>
    </w:p>
    <w:p>
      <w:pPr>
        <w:spacing w:after="0" w:line="86" w:lineRule="exact"/>
        <w:rPr>
          <w:rFonts w:ascii="Times New Roman" w:cs="Times New Roman" w:eastAsia="Times New Roman" w:hAnsi="Times New Roman"/>
          <w:sz w:val="16"/>
          <w:szCs w:val="16"/>
          <w:color w:val="auto"/>
        </w:rPr>
      </w:pPr>
    </w:p>
    <w:p>
      <w:pPr>
        <w:ind w:left="320"/>
        <w:spacing w:after="0"/>
        <w:rPr>
          <w:sz w:val="20"/>
          <w:szCs w:val="20"/>
          <w:color w:val="auto"/>
        </w:rPr>
      </w:pPr>
      <w:r>
        <w:rPr>
          <w:rFonts w:ascii="Times New Roman" w:cs="Times New Roman" w:eastAsia="Times New Roman" w:hAnsi="Times New Roman"/>
          <w:sz w:val="16"/>
          <w:szCs w:val="16"/>
          <w:color w:val="auto"/>
        </w:rPr>
        <w:t>101.PRE XBRL Taxonomy Extension Presentation Linkbase Document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2" w:lineRule="exact"/>
        <w:rPr>
          <w:rFonts w:ascii="Times New Roman" w:cs="Times New Roman" w:eastAsia="Times New Roman" w:hAnsi="Times New Roman"/>
          <w:sz w:val="16"/>
          <w:szCs w:val="16"/>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87" w:right="539" w:bottom="1440" w:gutter="0" w:footer="0" w:header="0"/>
        </w:sectPr>
      </w:pPr>
    </w:p>
    <w:bookmarkStart w:id="45" w:name="page46"/>
    <w:bookmarkEnd w:id="45"/>
    <w:p>
      <w:pPr>
        <w:ind w:left="320"/>
        <w:spacing w:after="0"/>
        <w:rPr>
          <w:sz w:val="20"/>
          <w:szCs w:val="20"/>
          <w:color w:val="auto"/>
        </w:rPr>
      </w:pPr>
      <w:r>
        <w:rPr>
          <w:rFonts w:ascii="Times New Roman" w:cs="Times New Roman" w:eastAsia="Times New Roman" w:hAnsi="Times New Roman"/>
          <w:sz w:val="16"/>
          <w:szCs w:val="16"/>
          <w:color w:val="auto"/>
        </w:rPr>
        <w:t>101.DEF XBRL Taxonomy Extension Definition Linkbase Document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Furnished herewith</w:t>
      </w:r>
    </w:p>
    <w:p>
      <w:pPr>
        <w:spacing w:after="0" w:line="171" w:lineRule="exact"/>
        <w:rPr>
          <w:sz w:val="20"/>
          <w:szCs w:val="20"/>
          <w:color w:val="auto"/>
        </w:rPr>
      </w:pPr>
    </w:p>
    <w:p>
      <w:pPr>
        <w:ind w:left="240" w:hanging="232"/>
        <w:spacing w:after="0"/>
        <w:tabs>
          <w:tab w:leader="none" w:pos="240" w:val="left"/>
        </w:tabs>
        <w:numPr>
          <w:ilvl w:val="0"/>
          <w:numId w:val="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Indicates management contract or compensatory plan, contract or arrangement</w:t>
      </w: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338" w:lineRule="exact"/>
        <w:rPr>
          <w:rFonts w:ascii="Times New Roman" w:cs="Times New Roman" w:eastAsia="Times New Roman" w:hAnsi="Times New Roman"/>
          <w:sz w:val="17"/>
          <w:szCs w:val="17"/>
          <w:i w:val="1"/>
          <w:iCs w:val="1"/>
          <w:color w:val="auto"/>
        </w:rPr>
      </w:pPr>
    </w:p>
    <w:p>
      <w:pPr>
        <w:ind w:left="554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0" w:right="1440"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18688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7"/>
          <w:szCs w:val="17"/>
          <w:color w:val="auto"/>
        </w:rPr>
        <w:t>By: /s/ Gina Goetter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18688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Gina Goetter</w:t>
      </w:r>
    </w:p>
    <w:p>
      <w:pPr>
        <w:spacing w:after="0" w:line="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 and Chief</w:t>
      </w:r>
    </w:p>
    <w:p>
      <w:pPr>
        <w:ind w:left="6740"/>
        <w:spacing w:after="0" w:line="203" w:lineRule="auto"/>
        <w:rPr>
          <w:sz w:val="20"/>
          <w:szCs w:val="20"/>
          <w:color w:val="auto"/>
        </w:rPr>
      </w:pPr>
      <w:r>
        <w:rPr>
          <w:rFonts w:ascii="Times New Roman" w:cs="Times New Roman" w:eastAsia="Times New Roman" w:hAnsi="Times New Roman"/>
          <w:sz w:val="18"/>
          <w:szCs w:val="18"/>
          <w:color w:val="auto"/>
        </w:rPr>
        <w:t>Operating Officer</w:t>
      </w:r>
    </w:p>
    <w:p>
      <w:pPr>
        <w:ind w:left="6740"/>
        <w:spacing w:after="0" w:line="219" w:lineRule="auto"/>
        <w:rPr>
          <w:sz w:val="20"/>
          <w:szCs w:val="20"/>
          <w:color w:val="auto"/>
        </w:rPr>
      </w:pPr>
      <w:r>
        <w:rPr>
          <w:rFonts w:ascii="Times New Roman" w:cs="Times New Roman" w:eastAsia="Times New Roman" w:hAnsi="Times New Roman"/>
          <w:sz w:val="18"/>
          <w:szCs w:val="18"/>
          <w:color w:val="auto"/>
        </w:rPr>
        <w:t>(Duly Authorized Officer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00"/>
          </w:cols>
          <w:pgMar w:left="320" w:top="945" w:right="37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65"/>
          <w:szCs w:val="65"/>
          <w:color w:val="auto"/>
        </w:rPr>
        <w:t>Hasbro, Inc</w:t>
      </w:r>
      <w:r>
        <w:rPr>
          <w:rFonts w:ascii="Times New Roman" w:cs="Times New Roman" w:eastAsia="Times New Roman" w:hAnsi="Times New Roman"/>
          <w:sz w:val="32"/>
          <w:szCs w:val="32"/>
          <w:color w:val="auto"/>
        </w:rPr>
        <w: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u w:val="single" w:color="auto"/>
          <w:color w:val="auto"/>
        </w:rPr>
        <w:t>2024 Performance Rewards Program</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color w:val="auto"/>
        </w:rPr>
        <w:t>January 1, 2024</w:t>
      </w:r>
    </w:p>
    <w:p>
      <w:pPr>
        <w:sectPr>
          <w:pgSz w:w="11900" w:h="16838" w:orient="portrait"/>
          <w:cols w:equalWidth="0" w:num="1">
            <w:col w:w="9019"/>
          </w:cols>
          <w:pgMar w:left="1440" w:top="1432" w:right="1440"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5"/>
          <w:szCs w:val="25"/>
          <w:color w:val="auto"/>
        </w:rPr>
        <w:t>Hasbro, Inc.</w:t>
      </w:r>
    </w:p>
    <w:p>
      <w:pPr>
        <w:spacing w:after="0" w:line="200" w:lineRule="exact"/>
        <w:rPr>
          <w:sz w:val="20"/>
          <w:szCs w:val="20"/>
          <w:color w:val="auto"/>
        </w:rPr>
      </w:pPr>
    </w:p>
    <w:p>
      <w:pPr>
        <w:spacing w:after="0" w:line="30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5"/>
          <w:szCs w:val="25"/>
          <w:u w:val="single" w:color="auto"/>
          <w:color w:val="auto"/>
        </w:rPr>
        <w:t>Performance Rewards Program</w:t>
      </w:r>
    </w:p>
    <w:p>
      <w:pPr>
        <w:spacing w:after="0" w:line="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1"/>
          <w:szCs w:val="21"/>
          <w:u w:val="single" w:color="auto"/>
          <w:color w:val="auto"/>
        </w:rPr>
        <w:t>Background</w:t>
      </w:r>
    </w:p>
    <w:p>
      <w:pPr>
        <w:spacing w:after="0" w:line="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1"/>
          <w:szCs w:val="21"/>
          <w:u w:val="single" w:color="auto"/>
          <w:color w:val="auto"/>
        </w:rPr>
        <w:t xml:space="preserve">Performance Rewards Program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21"/>
          <w:szCs w:val="21"/>
          <w:u w:val="single" w:color="auto"/>
          <w:color w:val="auto"/>
        </w:rPr>
        <w:t>“PRP”)</w:t>
      </w:r>
    </w:p>
    <w:p>
      <w:pPr>
        <w:spacing w:after="0" w:line="30" w:lineRule="exact"/>
        <w:rPr>
          <w:sz w:val="20"/>
          <w:szCs w:val="20"/>
          <w:color w:val="auto"/>
        </w:rPr>
      </w:pPr>
    </w:p>
    <w:p>
      <w:pPr>
        <w:ind w:left="1900" w:right="860" w:hanging="106"/>
        <w:spacing w:after="0" w:line="271" w:lineRule="auto"/>
        <w:rPr>
          <w:sz w:val="20"/>
          <w:szCs w:val="20"/>
          <w:color w:val="auto"/>
        </w:rPr>
      </w:pPr>
      <w:r>
        <w:rPr>
          <w:rFonts w:ascii="Times New Roman" w:cs="Times New Roman" w:eastAsia="Times New Roman" w:hAnsi="Times New Roman"/>
          <w:sz w:val="22"/>
          <w:szCs w:val="22"/>
          <w:color w:val="auto"/>
        </w:rPr>
        <w:t>Establishes standard criteria to determine PRP eligibility and overall company or business objectives.</w:t>
      </w: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Provides guidelines for the establishment of target incentive awards.</w:t>
      </w:r>
    </w:p>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The following describes the various plans that are funded pursuant to the PRP.</w:t>
      </w:r>
    </w:p>
    <w:p>
      <w:pPr>
        <w:spacing w:after="0" w:line="28" w:lineRule="exact"/>
        <w:rPr>
          <w:sz w:val="20"/>
          <w:szCs w:val="20"/>
          <w:color w:val="auto"/>
        </w:rPr>
      </w:pPr>
    </w:p>
    <w:p>
      <w:pPr>
        <w:ind w:left="1900" w:right="20" w:hanging="106"/>
        <w:spacing w:after="0" w:line="243" w:lineRule="auto"/>
        <w:rPr>
          <w:sz w:val="20"/>
          <w:szCs w:val="20"/>
          <w:color w:val="auto"/>
        </w:rPr>
      </w:pPr>
      <w:r>
        <w:rPr>
          <w:rFonts w:ascii="Times New Roman" w:cs="Times New Roman" w:eastAsia="Times New Roman" w:hAnsi="Times New Roman"/>
          <w:sz w:val="22"/>
          <w:szCs w:val="22"/>
          <w:u w:val="single" w:color="auto"/>
          <w:color w:val="auto"/>
        </w:rPr>
        <w:t>Total Hasbro Plan</w:t>
      </w:r>
      <w:r>
        <w:rPr>
          <w:rFonts w:ascii="Times New Roman" w:cs="Times New Roman" w:eastAsia="Times New Roman" w:hAnsi="Times New Roman"/>
          <w:sz w:val="22"/>
          <w:szCs w:val="22"/>
          <w:color w:val="auto"/>
        </w:rPr>
        <w:t>- Funding under the PRP for eligible employees identified pursuant to Section 1.5 is based on performance of Hasbro, Inc. and its subsidiaries (the “Company”).</w:t>
      </w:r>
    </w:p>
    <w:p>
      <w:pPr>
        <w:spacing w:after="0" w:line="1" w:lineRule="exact"/>
        <w:rPr>
          <w:sz w:val="20"/>
          <w:szCs w:val="20"/>
          <w:color w:val="auto"/>
        </w:rPr>
      </w:pPr>
    </w:p>
    <w:p>
      <w:pPr>
        <w:ind w:left="1900" w:hanging="106"/>
        <w:spacing w:after="0" w:line="252" w:lineRule="auto"/>
        <w:rPr>
          <w:sz w:val="20"/>
          <w:szCs w:val="20"/>
          <w:color w:val="auto"/>
        </w:rPr>
      </w:pPr>
      <w:r>
        <w:rPr>
          <w:rFonts w:ascii="Times New Roman" w:cs="Times New Roman" w:eastAsia="Times New Roman" w:hAnsi="Times New Roman"/>
          <w:sz w:val="22"/>
          <w:szCs w:val="22"/>
          <w:u w:val="single" w:color="auto"/>
          <w:color w:val="auto"/>
        </w:rPr>
        <w:t>Business Unit Plans</w:t>
      </w:r>
      <w:r>
        <w:rPr>
          <w:rFonts w:ascii="Times New Roman" w:cs="Times New Roman" w:eastAsia="Times New Roman" w:hAnsi="Times New Roman"/>
          <w:sz w:val="22"/>
          <w:szCs w:val="22"/>
          <w:color w:val="auto"/>
        </w:rPr>
        <w:t xml:space="preserve"> - Funding under the PRP for eligible employees identified pursuant to Section 1.5 will be based on the performance of the applicable business unit of the Company. For purposes of this document, each of the following is referred to as a “Business Unit”:</w:t>
      </w:r>
    </w:p>
    <w:p>
      <w:pPr>
        <w:spacing w:after="0" w:line="205" w:lineRule="exact"/>
        <w:rPr>
          <w:sz w:val="20"/>
          <w:szCs w:val="20"/>
          <w:color w:val="auto"/>
        </w:rPr>
      </w:pPr>
    </w:p>
    <w:p>
      <w:pPr>
        <w:ind w:left="2960" w:hanging="328"/>
        <w:spacing w:after="0"/>
        <w:tabs>
          <w:tab w:leader="none" w:pos="29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Toys, Games, Licensing &amp; Entertainment (“TGLE”)</w:t>
      </w:r>
    </w:p>
    <w:p>
      <w:pPr>
        <w:spacing w:after="0" w:line="27" w:lineRule="exact"/>
        <w:rPr>
          <w:rFonts w:ascii="Times New Roman" w:cs="Times New Roman" w:eastAsia="Times New Roman" w:hAnsi="Times New Roman"/>
          <w:sz w:val="22"/>
          <w:szCs w:val="22"/>
          <w:color w:val="auto"/>
        </w:rPr>
      </w:pPr>
    </w:p>
    <w:p>
      <w:pPr>
        <w:ind w:left="2960" w:hanging="328"/>
        <w:spacing w:after="0"/>
        <w:tabs>
          <w:tab w:leader="none" w:pos="29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Wizards of the Coast and Digital Gaming (“WOTC”)</w:t>
      </w:r>
    </w:p>
    <w:p>
      <w:pPr>
        <w:spacing w:after="0" w:line="3" w:lineRule="exact"/>
        <w:rPr>
          <w:rFonts w:ascii="Times New Roman" w:cs="Times New Roman" w:eastAsia="Times New Roman" w:hAnsi="Times New Roman"/>
          <w:sz w:val="22"/>
          <w:szCs w:val="22"/>
          <w:color w:val="auto"/>
        </w:rPr>
      </w:pPr>
    </w:p>
    <w:p>
      <w:pPr>
        <w:ind w:left="2960" w:hanging="328"/>
        <w:spacing w:after="0"/>
        <w:tabs>
          <w:tab w:leader="none" w:pos="29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w:t>
      </w:r>
    </w:p>
    <w:p>
      <w:pPr>
        <w:spacing w:after="0" w:line="250" w:lineRule="exact"/>
        <w:rPr>
          <w:sz w:val="20"/>
          <w:szCs w:val="20"/>
          <w:color w:val="auto"/>
        </w:rPr>
      </w:pPr>
    </w:p>
    <w:p>
      <w:pPr>
        <w:ind w:left="1900" w:right="60" w:hanging="106"/>
        <w:spacing w:after="0" w:line="284" w:lineRule="auto"/>
        <w:rPr>
          <w:sz w:val="20"/>
          <w:szCs w:val="20"/>
          <w:color w:val="auto"/>
        </w:rPr>
      </w:pPr>
      <w:r>
        <w:rPr>
          <w:rFonts w:ascii="Times New Roman" w:cs="Times New Roman" w:eastAsia="Times New Roman" w:hAnsi="Times New Roman"/>
          <w:sz w:val="22"/>
          <w:szCs w:val="22"/>
          <w:color w:val="auto"/>
        </w:rPr>
        <w:t>Performance objectives and goals are established to measure performance achievement and may be based on one or more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440"/>
          </w:cols>
          <w:pgMar w:left="320" w:top="1440" w:right="1139" w:bottom="1440" w:gutter="0" w:footer="0" w:header="0"/>
        </w:sectPr>
      </w:pPr>
    </w:p>
    <w:bookmarkStart w:id="49" w:name="page50"/>
    <w:bookmarkEnd w:id="49"/>
    <w:p>
      <w:pPr>
        <w:ind w:left="2100"/>
        <w:spacing w:after="0"/>
        <w:rPr>
          <w:sz w:val="20"/>
          <w:szCs w:val="20"/>
          <w:color w:val="auto"/>
        </w:rPr>
      </w:pPr>
      <w:r>
        <w:rPr>
          <w:rFonts w:ascii="Times New Roman" w:cs="Times New Roman" w:eastAsia="Times New Roman" w:hAnsi="Times New Roman"/>
          <w:sz w:val="22"/>
          <w:szCs w:val="22"/>
          <w:u w:val="single" w:color="auto"/>
          <w:color w:val="auto"/>
        </w:rPr>
        <w:t>Total Hasbro Plan</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Net Revenue</w:t>
      </w:r>
    </w:p>
    <w:p>
      <w:pPr>
        <w:spacing w:after="0" w:line="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Operating Profit Dollars</w:t>
      </w:r>
    </w:p>
    <w:p>
      <w:pPr>
        <w:spacing w:after="0" w:line="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Hasbro Strategic Scorecard</w:t>
      </w:r>
    </w:p>
    <w:p>
      <w:pPr>
        <w:spacing w:after="0" w:line="23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u w:val="single" w:color="auto"/>
          <w:color w:val="auto"/>
        </w:rPr>
        <w:t>Business Unit Plans</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Business Unit Net Revenue</w:t>
      </w:r>
    </w:p>
    <w:p>
      <w:pPr>
        <w:spacing w:after="0" w:line="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Business Unit Operating Profit Dollars</w:t>
      </w:r>
    </w:p>
    <w:p>
      <w:pPr>
        <w:spacing w:after="0" w:line="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Hasbro Strategic Scorecard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Purpose</w:t>
      </w:r>
    </w:p>
    <w:p>
      <w:pPr>
        <w:spacing w:after="0" w:line="260" w:lineRule="exact"/>
        <w:rPr>
          <w:sz w:val="20"/>
          <w:szCs w:val="20"/>
          <w:color w:val="auto"/>
        </w:rPr>
      </w:pPr>
    </w:p>
    <w:p>
      <w:pPr>
        <w:ind w:left="800" w:hanging="8"/>
        <w:spacing w:after="0" w:line="249" w:lineRule="auto"/>
        <w:rPr>
          <w:sz w:val="20"/>
          <w:szCs w:val="20"/>
          <w:color w:val="auto"/>
        </w:rPr>
      </w:pPr>
      <w:r>
        <w:rPr>
          <w:rFonts w:ascii="Times New Roman" w:cs="Times New Roman" w:eastAsia="Times New Roman" w:hAnsi="Times New Roman"/>
          <w:sz w:val="22"/>
          <w:szCs w:val="22"/>
          <w:color w:val="auto"/>
        </w:rPr>
        <w:t>The Company has established this PRP for the purpose of providing annual incentive compensation to those employees who contribute significantly to the growth and success of the Company’s business; to attract and retain, in the employ of the Company, individuals of outstanding ability; and to align the interests of employees with the interest of the Company’s shareholders.</w:t>
      </w:r>
    </w:p>
    <w:p>
      <w:pPr>
        <w:spacing w:after="0" w:line="2"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General Guideline</w:t>
      </w:r>
    </w:p>
    <w:p>
      <w:pPr>
        <w:spacing w:after="0" w:line="2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 employee has any legal entitlement to participate in the PRP or to receive an incentive award under the PRP.</w:t>
      </w:r>
    </w:p>
    <w:p>
      <w:pPr>
        <w:spacing w:after="0" w:line="274"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u w:val="single" w:color="auto"/>
          <w:color w:val="auto"/>
        </w:rPr>
        <w:t>Scope</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PRP is applicable to eligible employees of the Company.</w:t>
      </w:r>
    </w:p>
    <w:p>
      <w:pPr>
        <w:spacing w:after="0" w:line="28"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Eligibility</w:t>
      </w:r>
    </w:p>
    <w:p>
      <w:pPr>
        <w:spacing w:after="0" w:line="236" w:lineRule="exact"/>
        <w:rPr>
          <w:sz w:val="20"/>
          <w:szCs w:val="20"/>
          <w:color w:val="auto"/>
        </w:rPr>
      </w:pPr>
    </w:p>
    <w:p>
      <w:pPr>
        <w:ind w:left="800" w:right="20"/>
        <w:spacing w:after="0" w:line="263" w:lineRule="auto"/>
        <w:rPr>
          <w:sz w:val="20"/>
          <w:szCs w:val="20"/>
          <w:color w:val="auto"/>
        </w:rPr>
      </w:pPr>
      <w:r>
        <w:rPr>
          <w:rFonts w:ascii="Times New Roman" w:cs="Times New Roman" w:eastAsia="Times New Roman" w:hAnsi="Times New Roman"/>
          <w:sz w:val="21"/>
          <w:szCs w:val="21"/>
          <w:color w:val="auto"/>
        </w:rPr>
        <w:t>Management shall determine, in its sole discretion, those employees whose duties and responsibilities contribute significantly to the growth and success of the Company’s business and are eligible to participate in the PRP. Eligibility to participate in the PRP does not guarantee the receipt of an incentive award under the PRP. Unless otherwise required by law or determined by management, if an employee is eligible to participate in the PRP and/or any other annual incentive (or similar) plan implemented from time to time by the Company, such employee may only participate in one plan at the same time, as determined by the Company in its sole discretion. Eligible employees will be assigned to the Total Hasbro Plan or a Business Unit Plan for an employee’s applicable Business Unit, in each case at the Company’s sole discretion. Eligible employees selected to participate in either the Total Hasbro Plan or one of the Business Unit Plans are referred to herein as “participants.”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700"/>
          </w:cols>
          <w:pgMar w:left="820" w:top="774" w:right="379" w:bottom="1440" w:gutter="0" w:footer="0" w:header="0"/>
        </w:sectPr>
      </w:pPr>
    </w:p>
    <w:bookmarkStart w:id="50" w:name="page51"/>
    <w:bookmarkEnd w:id="50"/>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Incentive Award Levels</w:t>
      </w:r>
    </w:p>
    <w:p>
      <w:pPr>
        <w:spacing w:after="0" w:line="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Target Incentive Award</w:t>
      </w:r>
    </w:p>
    <w:p>
      <w:pPr>
        <w:spacing w:after="0" w:line="260" w:lineRule="exact"/>
        <w:rPr>
          <w:sz w:val="20"/>
          <w:szCs w:val="20"/>
          <w:color w:val="auto"/>
        </w:rPr>
      </w:pPr>
    </w:p>
    <w:p>
      <w:pPr>
        <w:ind w:left="1300"/>
        <w:spacing w:after="0" w:line="248" w:lineRule="auto"/>
        <w:rPr>
          <w:sz w:val="20"/>
          <w:szCs w:val="20"/>
          <w:color w:val="auto"/>
        </w:rPr>
      </w:pPr>
      <w:r>
        <w:rPr>
          <w:rFonts w:ascii="Times New Roman" w:cs="Times New Roman" w:eastAsia="Times New Roman" w:hAnsi="Times New Roman"/>
          <w:sz w:val="22"/>
          <w:szCs w:val="22"/>
          <w:color w:val="auto"/>
        </w:rPr>
        <w:t>Except as otherwise determined by the Company, target incentive awards are expressed as a percentage of earned base salary for the PRP year. For purposes of this PRP, earned base salary means all base compensation for the participant for the fiscal year, which base compensation shall include all base compensation amounts deferred into the Company’s retirement savings plan (but excluding any matching or Company contributions made to such plan on the participant’s behalf), the Company’s Non-Qualified Deferred Compensation Plan and/or any similar successor plans for the fiscal year and excludes, where allowed by law, any bonus or other benefits for the fiscal year. By design, the target incentive awards are the award levels that PRP participants are eligible to earn when they, the Company or their applicable Business Unit achieve both their financial and strategic goals and objectives, as applicable. Target incentive awards may be determined by job level, previously determined percentage of earned base salary, or a previously determined fixed percentage or amount. Target incentive awards may also vary by region or Business Area.</w:t>
      </w:r>
    </w:p>
    <w:p>
      <w:pPr>
        <w:spacing w:after="0" w:line="2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Maximum Incentive Award</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Under the PRP, the maximum incentive award for participants is 300% of the target incentive award.</w:t>
      </w:r>
    </w:p>
    <w:p>
      <w:pPr>
        <w:spacing w:after="0" w:line="24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3.0</w:t>
      </w:r>
      <w:r>
        <w:rPr>
          <w:sz w:val="20"/>
          <w:szCs w:val="20"/>
          <w:color w:val="auto"/>
        </w:rPr>
        <w:tab/>
      </w:r>
      <w:r>
        <w:rPr>
          <w:rFonts w:ascii="Times New Roman" w:cs="Times New Roman" w:eastAsia="Times New Roman" w:hAnsi="Times New Roman"/>
          <w:sz w:val="21"/>
          <w:szCs w:val="21"/>
          <w:u w:val="single" w:color="auto"/>
          <w:color w:val="auto"/>
        </w:rPr>
        <w:t>Measures of Performance</w:t>
      </w:r>
    </w:p>
    <w:p>
      <w:pPr>
        <w:spacing w:after="0" w:line="260" w:lineRule="exact"/>
        <w:rPr>
          <w:sz w:val="20"/>
          <w:szCs w:val="20"/>
          <w:color w:val="auto"/>
        </w:rPr>
      </w:pPr>
    </w:p>
    <w:p>
      <w:pPr>
        <w:ind w:left="1300" w:right="20" w:hanging="320"/>
        <w:spacing w:after="0" w:line="270" w:lineRule="auto"/>
        <w:tabs>
          <w:tab w:leader="none" w:pos="1295" w:val="left"/>
        </w:tabs>
        <w:numPr>
          <w:ilvl w:val="0"/>
          <w:numId w:val="37"/>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Total Hasbro</w:t>
      </w:r>
      <w:r>
        <w:rPr>
          <w:rFonts w:ascii="Times New Roman" w:cs="Times New Roman" w:eastAsia="Times New Roman" w:hAnsi="Times New Roman"/>
          <w:sz w:val="22"/>
          <w:szCs w:val="22"/>
          <w:color w:val="auto"/>
        </w:rPr>
        <w:t xml:space="preserve"> - PRP funding for the Total Hasbro Plan is based 80% on Total Hasbro Financial Metric Performance and 20% on the Hasbro Strategic Scorecard, each as described below.</w:t>
      </w:r>
    </w:p>
    <w:p>
      <w:pPr>
        <w:spacing w:after="0" w:line="185" w:lineRule="exact"/>
        <w:rPr>
          <w:rFonts w:ascii="Arial" w:cs="Arial" w:eastAsia="Arial" w:hAnsi="Arial"/>
          <w:sz w:val="22"/>
          <w:szCs w:val="22"/>
          <w:color w:val="auto"/>
        </w:rPr>
      </w:pPr>
    </w:p>
    <w:p>
      <w:pPr>
        <w:ind w:left="1300" w:right="280" w:hanging="320"/>
        <w:spacing w:after="0" w:line="266" w:lineRule="auto"/>
        <w:tabs>
          <w:tab w:leader="none" w:pos="1295" w:val="left"/>
        </w:tabs>
        <w:numPr>
          <w:ilvl w:val="0"/>
          <w:numId w:val="37"/>
        </w:numPr>
        <w:rPr>
          <w:rFonts w:ascii="Arial" w:cs="Arial" w:eastAsia="Arial" w:hAnsi="Arial"/>
          <w:sz w:val="21"/>
          <w:szCs w:val="21"/>
          <w:color w:val="auto"/>
        </w:rPr>
      </w:pPr>
      <w:r>
        <w:rPr>
          <w:rFonts w:ascii="Times New Roman" w:cs="Times New Roman" w:eastAsia="Times New Roman" w:hAnsi="Times New Roman"/>
          <w:sz w:val="21"/>
          <w:szCs w:val="21"/>
          <w:u w:val="single" w:color="auto"/>
          <w:color w:val="auto"/>
        </w:rPr>
        <w:t>Business Unit Plans</w:t>
      </w:r>
      <w:r>
        <w:rPr>
          <w:rFonts w:ascii="Times New Roman" w:cs="Times New Roman" w:eastAsia="Times New Roman" w:hAnsi="Times New Roman"/>
          <w:sz w:val="21"/>
          <w:szCs w:val="21"/>
          <w:color w:val="auto"/>
        </w:rPr>
        <w:t xml:space="preserve"> - PRP funding for each of the Business Unit Plans is based 80% on the applicable Business Unit Financial Metric performance and 20% on the Hasbro Strategic Scorecard, each as described below.</w:t>
      </w:r>
    </w:p>
    <w:p>
      <w:pPr>
        <w:spacing w:after="0" w:line="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Establishing Total Hasbro or Business Unit Performance Metrics and Targets</w:t>
      </w:r>
    </w:p>
    <w:p>
      <w:pPr>
        <w:spacing w:after="0" w:line="7" w:lineRule="exact"/>
        <w:rPr>
          <w:sz w:val="20"/>
          <w:szCs w:val="20"/>
          <w:color w:val="auto"/>
        </w:rPr>
      </w:pPr>
    </w:p>
    <w:p>
      <w:pPr>
        <w:ind w:left="1300" w:right="40"/>
        <w:spacing w:after="0" w:line="261" w:lineRule="auto"/>
        <w:rPr>
          <w:sz w:val="20"/>
          <w:szCs w:val="20"/>
          <w:color w:val="auto"/>
        </w:rPr>
      </w:pPr>
      <w:r>
        <w:rPr>
          <w:rFonts w:ascii="Times New Roman" w:cs="Times New Roman" w:eastAsia="Times New Roman" w:hAnsi="Times New Roman"/>
          <w:sz w:val="22"/>
          <w:szCs w:val="22"/>
          <w:color w:val="auto"/>
        </w:rPr>
        <w:t>In the first quarter of the PRP year, the Company’s senior management will establish performance metrics and the level of target performance for the year associated with each of the performance metrics for the Total Hasbro Plan and the various Business Unit Plans. Those performance metrics and target levels are reviewed and approved by the Company’s Chief Executive Officer (“CEO”) and, with respect to any plan in which a Section 16 Officer of the Company participates, by the Company’s Board of Directors (“Board”) or the Compensation Committee of the Board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774" w:right="339" w:bottom="1440" w:gutter="0" w:footer="0" w:header="0"/>
        </w:sectPr>
      </w:pPr>
    </w:p>
    <w:bookmarkStart w:id="51" w:name="page52"/>
    <w:bookmarkEnd w:id="51"/>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Total Hasbro Performance Metrics</w:t>
      </w:r>
    </w:p>
    <w:p>
      <w:pPr>
        <w:spacing w:after="0" w:line="260" w:lineRule="exact"/>
        <w:rPr>
          <w:sz w:val="20"/>
          <w:szCs w:val="20"/>
          <w:color w:val="auto"/>
        </w:rPr>
      </w:pPr>
    </w:p>
    <w:p>
      <w:pPr>
        <w:ind w:left="1300" w:right="20" w:hanging="8"/>
        <w:spacing w:after="0" w:line="250" w:lineRule="auto"/>
        <w:rPr>
          <w:sz w:val="20"/>
          <w:szCs w:val="20"/>
          <w:color w:val="auto"/>
        </w:rPr>
      </w:pPr>
      <w:r>
        <w:rPr>
          <w:rFonts w:ascii="Times New Roman" w:cs="Times New Roman" w:eastAsia="Times New Roman" w:hAnsi="Times New Roman"/>
          <w:sz w:val="22"/>
          <w:szCs w:val="22"/>
          <w:color w:val="auto"/>
        </w:rPr>
        <w:t>Total Hasbro Financial Metric Performance is measured by Net Revenue and Operating Profit Dollars. Net Revenue and Operating Profit Dollars performance is determined by individually assessing Total Hasbro Financial Metric Performance against the goals for each metric, applying the performance scale and weighting each metric. The Hasbro Strategic Scorecard is assessed by reviewing both quantitative and qualitative factors against each strategic metric individually to determine the overall Hasbro Strategic Scorecard result. The results of both the financial metrics and the Hasbro Strategic Scorecard are then weighted to determine the overall payout factor as set forth below.</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weightings and definitions of the Total Hasbro Financial Metrics Performance are: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320" w:type="dxa"/>
            <w:vAlign w:val="bottom"/>
            <w:tcBorders>
              <w:right w:val="single" w:sz="8" w:color="0070C0"/>
            </w:tcBorders>
          </w:tcPr>
          <w:p>
            <w:pPr>
              <w:spacing w:after="0"/>
              <w:rPr>
                <w:sz w:val="24"/>
                <w:szCs w:val="24"/>
                <w:color w:val="auto"/>
              </w:rPr>
            </w:pPr>
          </w:p>
        </w:tc>
        <w:tc>
          <w:tcPr>
            <w:tcW w:w="2240" w:type="dxa"/>
            <w:vAlign w:val="bottom"/>
            <w:tcBorders>
              <w:right w:val="single" w:sz="8" w:color="0070C0"/>
            </w:tcBorders>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Metric</w:t>
            </w:r>
          </w:p>
        </w:tc>
        <w:tc>
          <w:tcPr>
            <w:tcW w:w="5600" w:type="dxa"/>
            <w:vAlign w:val="bottom"/>
            <w:tcBorders>
              <w:right w:val="single" w:sz="8" w:color="0070C0"/>
            </w:tcBorders>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Definition</w:t>
            </w:r>
          </w:p>
        </w:tc>
        <w:tc>
          <w:tcPr>
            <w:tcW w:w="2020" w:type="dxa"/>
            <w:vAlign w:val="bottom"/>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Weighting</w:t>
            </w:r>
          </w:p>
        </w:tc>
        <w:tc>
          <w:tcPr>
            <w:tcW w:w="20" w:type="dxa"/>
            <w:vAlign w:val="bottom"/>
          </w:tcPr>
          <w:p>
            <w:pPr>
              <w:spacing w:after="0"/>
              <w:rPr>
                <w:sz w:val="24"/>
                <w:szCs w:val="24"/>
                <w:color w:val="auto"/>
              </w:rPr>
            </w:pPr>
          </w:p>
        </w:tc>
      </w:tr>
      <w:tr>
        <w:trPr>
          <w:trHeight w:val="35"/>
        </w:trPr>
        <w:tc>
          <w:tcPr>
            <w:tcW w:w="320" w:type="dxa"/>
            <w:vAlign w:val="bottom"/>
            <w:tcBorders>
              <w:right w:val="single" w:sz="8" w:color="0070C0"/>
            </w:tcBorders>
          </w:tcPr>
          <w:p>
            <w:pPr>
              <w:spacing w:after="0"/>
              <w:rPr>
                <w:sz w:val="3"/>
                <w:szCs w:val="3"/>
                <w:color w:val="auto"/>
              </w:rPr>
            </w:pPr>
          </w:p>
        </w:tc>
        <w:tc>
          <w:tcPr>
            <w:tcW w:w="2240" w:type="dxa"/>
            <w:vAlign w:val="bottom"/>
            <w:tcBorders>
              <w:bottom w:val="single" w:sz="8" w:color="0070C0"/>
              <w:right w:val="single" w:sz="8" w:color="0070C0"/>
            </w:tcBorders>
            <w:shd w:val="clear" w:color="auto" w:fill="0070C0"/>
          </w:tcPr>
          <w:p>
            <w:pPr>
              <w:spacing w:after="0"/>
              <w:rPr>
                <w:sz w:val="3"/>
                <w:szCs w:val="3"/>
                <w:color w:val="auto"/>
              </w:rPr>
            </w:pPr>
          </w:p>
        </w:tc>
        <w:tc>
          <w:tcPr>
            <w:tcW w:w="5600" w:type="dxa"/>
            <w:vAlign w:val="bottom"/>
            <w:tcBorders>
              <w:bottom w:val="single" w:sz="8" w:color="0070C0"/>
              <w:right w:val="single" w:sz="8" w:color="0070C0"/>
            </w:tcBorders>
            <w:shd w:val="clear" w:color="auto" w:fill="0070C0"/>
          </w:tcPr>
          <w:p>
            <w:pPr>
              <w:spacing w:after="0"/>
              <w:rPr>
                <w:sz w:val="3"/>
                <w:szCs w:val="3"/>
                <w:color w:val="auto"/>
              </w:rPr>
            </w:pPr>
          </w:p>
        </w:tc>
        <w:tc>
          <w:tcPr>
            <w:tcW w:w="2020" w:type="dxa"/>
            <w:vAlign w:val="bottom"/>
            <w:tcBorders>
              <w:bottom w:val="single" w:sz="8" w:color="0070C0"/>
            </w:tcBorders>
            <w:shd w:val="clear" w:color="auto" w:fill="0070C0"/>
          </w:tcPr>
          <w:p>
            <w:pPr>
              <w:spacing w:after="0"/>
              <w:rPr>
                <w:sz w:val="3"/>
                <w:szCs w:val="3"/>
                <w:color w:val="auto"/>
              </w:rPr>
            </w:pPr>
          </w:p>
        </w:tc>
        <w:tc>
          <w:tcPr>
            <w:tcW w:w="20" w:type="dxa"/>
            <w:vAlign w:val="bottom"/>
            <w:tcBorders>
              <w:bottom w:val="single" w:sz="8" w:color="0070C0"/>
            </w:tcBorders>
          </w:tcPr>
          <w:p>
            <w:pPr>
              <w:spacing w:after="0"/>
              <w:rPr>
                <w:sz w:val="3"/>
                <w:szCs w:val="3"/>
                <w:color w:val="auto"/>
              </w:rPr>
            </w:pPr>
          </w:p>
        </w:tc>
      </w:tr>
      <w:tr>
        <w:trPr>
          <w:trHeight w:val="254"/>
        </w:trPr>
        <w:tc>
          <w:tcPr>
            <w:tcW w:w="320" w:type="dxa"/>
            <w:vAlign w:val="bottom"/>
            <w:tcBorders>
              <w:right w:val="single" w:sz="8" w:color="0070C0"/>
            </w:tcBorders>
          </w:tcPr>
          <w:p>
            <w:pPr>
              <w:spacing w:after="0"/>
              <w:rPr>
                <w:sz w:val="22"/>
                <w:szCs w:val="22"/>
                <w:color w:val="auto"/>
              </w:rPr>
            </w:pPr>
          </w:p>
        </w:tc>
        <w:tc>
          <w:tcPr>
            <w:tcW w:w="2240" w:type="dxa"/>
            <w:vAlign w:val="bottom"/>
            <w:tcBorders>
              <w:right w:val="single" w:sz="8" w:color="0070C0"/>
            </w:tcBorders>
          </w:tcPr>
          <w:p>
            <w:pPr>
              <w:spacing w:after="0"/>
              <w:rPr>
                <w:sz w:val="22"/>
                <w:szCs w:val="22"/>
                <w:color w:val="auto"/>
              </w:rPr>
            </w:pPr>
          </w:p>
        </w:tc>
        <w:tc>
          <w:tcPr>
            <w:tcW w:w="56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Third party gross sales (after returns) less sales allowances, plus</w:t>
            </w:r>
          </w:p>
        </w:tc>
        <w:tc>
          <w:tcPr>
            <w:tcW w:w="2020" w:type="dxa"/>
            <w:vAlign w:val="bottom"/>
          </w:tcPr>
          <w:p>
            <w:pPr>
              <w:spacing w:after="0"/>
              <w:rPr>
                <w:sz w:val="22"/>
                <w:szCs w:val="22"/>
                <w:color w:val="auto"/>
              </w:rPr>
            </w:pPr>
          </w:p>
        </w:tc>
        <w:tc>
          <w:tcPr>
            <w:tcW w:w="20" w:type="dxa"/>
            <w:vAlign w:val="bottom"/>
            <w:shd w:val="clear" w:color="auto" w:fill="0070C0"/>
          </w:tcPr>
          <w:p>
            <w:pPr>
              <w:spacing w:after="0"/>
              <w:rPr>
                <w:sz w:val="22"/>
                <w:szCs w:val="22"/>
                <w:color w:val="auto"/>
              </w:rPr>
            </w:pPr>
          </w:p>
        </w:tc>
      </w:tr>
      <w:tr>
        <w:trPr>
          <w:trHeight w:val="243"/>
        </w:trPr>
        <w:tc>
          <w:tcPr>
            <w:tcW w:w="320" w:type="dxa"/>
            <w:vAlign w:val="bottom"/>
            <w:tcBorders>
              <w:right w:val="single" w:sz="8" w:color="0070C0"/>
            </w:tcBorders>
          </w:tcPr>
          <w:p>
            <w:pPr>
              <w:spacing w:after="0"/>
              <w:rPr>
                <w:sz w:val="21"/>
                <w:szCs w:val="21"/>
                <w:color w:val="auto"/>
              </w:rPr>
            </w:pPr>
          </w:p>
        </w:tc>
        <w:tc>
          <w:tcPr>
            <w:tcW w:w="224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Net Revenue</w:t>
            </w:r>
          </w:p>
        </w:tc>
        <w:tc>
          <w:tcPr>
            <w:tcW w:w="56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9"/>
              </w:rPr>
              <w:t>third-party royalty income, digital gaming revenue, and entertainment</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20" w:type="dxa"/>
            <w:vAlign w:val="bottom"/>
            <w:shd w:val="clear" w:color="auto" w:fill="0070C0"/>
          </w:tcPr>
          <w:p>
            <w:pPr>
              <w:spacing w:after="0"/>
              <w:rPr>
                <w:sz w:val="21"/>
                <w:szCs w:val="21"/>
                <w:color w:val="auto"/>
              </w:rPr>
            </w:pPr>
          </w:p>
        </w:tc>
      </w:tr>
      <w:tr>
        <w:trPr>
          <w:trHeight w:val="258"/>
        </w:trPr>
        <w:tc>
          <w:tcPr>
            <w:tcW w:w="320" w:type="dxa"/>
            <w:vAlign w:val="bottom"/>
            <w:tcBorders>
              <w:right w:val="single" w:sz="8" w:color="0070C0"/>
            </w:tcBorders>
          </w:tcPr>
          <w:p>
            <w:pPr>
              <w:spacing w:after="0"/>
              <w:rPr>
                <w:sz w:val="22"/>
                <w:szCs w:val="22"/>
                <w:color w:val="auto"/>
              </w:rPr>
            </w:pPr>
          </w:p>
        </w:tc>
        <w:tc>
          <w:tcPr>
            <w:tcW w:w="2240" w:type="dxa"/>
            <w:vAlign w:val="bottom"/>
            <w:tcBorders>
              <w:right w:val="single" w:sz="8" w:color="0070C0"/>
            </w:tcBorders>
          </w:tcPr>
          <w:p>
            <w:pPr>
              <w:spacing w:after="0"/>
              <w:rPr>
                <w:sz w:val="22"/>
                <w:szCs w:val="22"/>
                <w:color w:val="auto"/>
              </w:rPr>
            </w:pPr>
          </w:p>
        </w:tc>
        <w:tc>
          <w:tcPr>
            <w:tcW w:w="56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7"/>
              </w:rPr>
              <w:t>revenue</w:t>
            </w:r>
          </w:p>
        </w:tc>
        <w:tc>
          <w:tcPr>
            <w:tcW w:w="2020" w:type="dxa"/>
            <w:vAlign w:val="bottom"/>
          </w:tcPr>
          <w:p>
            <w:pPr>
              <w:spacing w:after="0"/>
              <w:rPr>
                <w:sz w:val="22"/>
                <w:szCs w:val="22"/>
                <w:color w:val="auto"/>
              </w:rPr>
            </w:pPr>
          </w:p>
        </w:tc>
        <w:tc>
          <w:tcPr>
            <w:tcW w:w="20" w:type="dxa"/>
            <w:vAlign w:val="bottom"/>
            <w:shd w:val="clear" w:color="auto" w:fill="0070C0"/>
          </w:tcPr>
          <w:p>
            <w:pPr>
              <w:spacing w:after="0"/>
              <w:rPr>
                <w:sz w:val="22"/>
                <w:szCs w:val="22"/>
                <w:color w:val="auto"/>
              </w:rPr>
            </w:pPr>
          </w:p>
        </w:tc>
      </w:tr>
      <w:tr>
        <w:trPr>
          <w:trHeight w:val="35"/>
        </w:trPr>
        <w:tc>
          <w:tcPr>
            <w:tcW w:w="320" w:type="dxa"/>
            <w:vAlign w:val="bottom"/>
            <w:tcBorders>
              <w:right w:val="single" w:sz="8" w:color="0070C0"/>
            </w:tcBorders>
          </w:tcPr>
          <w:p>
            <w:pPr>
              <w:spacing w:after="0"/>
              <w:rPr>
                <w:sz w:val="3"/>
                <w:szCs w:val="3"/>
                <w:color w:val="auto"/>
              </w:rPr>
            </w:pPr>
          </w:p>
        </w:tc>
        <w:tc>
          <w:tcPr>
            <w:tcW w:w="2240" w:type="dxa"/>
            <w:vAlign w:val="bottom"/>
            <w:tcBorders>
              <w:bottom w:val="single" w:sz="8" w:color="0070C0"/>
              <w:right w:val="single" w:sz="8" w:color="0070C0"/>
            </w:tcBorders>
          </w:tcPr>
          <w:p>
            <w:pPr>
              <w:spacing w:after="0"/>
              <w:rPr>
                <w:sz w:val="3"/>
                <w:szCs w:val="3"/>
                <w:color w:val="auto"/>
              </w:rPr>
            </w:pPr>
          </w:p>
        </w:tc>
        <w:tc>
          <w:tcPr>
            <w:tcW w:w="5600" w:type="dxa"/>
            <w:vAlign w:val="bottom"/>
            <w:tcBorders>
              <w:bottom w:val="single" w:sz="8" w:color="0070C0"/>
              <w:right w:val="single" w:sz="8" w:color="0070C0"/>
            </w:tcBorders>
          </w:tcPr>
          <w:p>
            <w:pPr>
              <w:spacing w:after="0"/>
              <w:rPr>
                <w:sz w:val="3"/>
                <w:szCs w:val="3"/>
                <w:color w:val="auto"/>
              </w:rPr>
            </w:pPr>
          </w:p>
        </w:tc>
        <w:tc>
          <w:tcPr>
            <w:tcW w:w="2020" w:type="dxa"/>
            <w:vAlign w:val="bottom"/>
            <w:tcBorders>
              <w:bottom w:val="single" w:sz="8" w:color="0070C0"/>
            </w:tcBorders>
          </w:tcPr>
          <w:p>
            <w:pPr>
              <w:spacing w:after="0"/>
              <w:rPr>
                <w:sz w:val="3"/>
                <w:szCs w:val="3"/>
                <w:color w:val="auto"/>
              </w:rPr>
            </w:pPr>
          </w:p>
        </w:tc>
        <w:tc>
          <w:tcPr>
            <w:tcW w:w="20" w:type="dxa"/>
            <w:vAlign w:val="bottom"/>
            <w:tcBorders>
              <w:bottom w:val="single" w:sz="8" w:color="0070C0"/>
            </w:tcBorders>
            <w:shd w:val="clear" w:color="auto" w:fill="0070C0"/>
          </w:tcPr>
          <w:p>
            <w:pPr>
              <w:spacing w:after="0"/>
              <w:rPr>
                <w:sz w:val="3"/>
                <w:szCs w:val="3"/>
                <w:color w:val="auto"/>
              </w:rPr>
            </w:pPr>
          </w:p>
        </w:tc>
      </w:tr>
      <w:tr>
        <w:trPr>
          <w:trHeight w:val="362"/>
        </w:trPr>
        <w:tc>
          <w:tcPr>
            <w:tcW w:w="320" w:type="dxa"/>
            <w:vAlign w:val="bottom"/>
            <w:tcBorders>
              <w:right w:val="single" w:sz="8" w:color="0070C0"/>
            </w:tcBorders>
          </w:tcPr>
          <w:p>
            <w:pPr>
              <w:spacing w:after="0"/>
              <w:rPr>
                <w:sz w:val="24"/>
                <w:szCs w:val="24"/>
                <w:color w:val="auto"/>
              </w:rPr>
            </w:pPr>
          </w:p>
        </w:tc>
        <w:tc>
          <w:tcPr>
            <w:tcW w:w="2240" w:type="dxa"/>
            <w:vAlign w:val="bottom"/>
            <w:tcBorders>
              <w:right w:val="single" w:sz="8" w:color="0070C0"/>
            </w:tcBorders>
          </w:tcPr>
          <w:p>
            <w:pPr>
              <w:spacing w:after="0"/>
              <w:rPr>
                <w:sz w:val="24"/>
                <w:szCs w:val="24"/>
                <w:color w:val="auto"/>
              </w:rPr>
            </w:pPr>
          </w:p>
        </w:tc>
        <w:tc>
          <w:tcPr>
            <w:tcW w:w="56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Total earnings from operations excluding non-operating costs,</w:t>
            </w:r>
          </w:p>
        </w:tc>
        <w:tc>
          <w:tcPr>
            <w:tcW w:w="2020" w:type="dxa"/>
            <w:vAlign w:val="bottom"/>
          </w:tcPr>
          <w:p>
            <w:pPr>
              <w:spacing w:after="0"/>
              <w:rPr>
                <w:sz w:val="24"/>
                <w:szCs w:val="24"/>
                <w:color w:val="auto"/>
              </w:rPr>
            </w:pPr>
          </w:p>
        </w:tc>
        <w:tc>
          <w:tcPr>
            <w:tcW w:w="20" w:type="dxa"/>
            <w:vAlign w:val="bottom"/>
            <w:shd w:val="clear" w:color="auto" w:fill="0070C0"/>
          </w:tcPr>
          <w:p>
            <w:pPr>
              <w:spacing w:after="0"/>
              <w:rPr>
                <w:sz w:val="24"/>
                <w:szCs w:val="24"/>
                <w:color w:val="auto"/>
              </w:rPr>
            </w:pPr>
          </w:p>
        </w:tc>
      </w:tr>
      <w:tr>
        <w:trPr>
          <w:trHeight w:val="243"/>
        </w:trPr>
        <w:tc>
          <w:tcPr>
            <w:tcW w:w="320" w:type="dxa"/>
            <w:vAlign w:val="bottom"/>
            <w:tcBorders>
              <w:right w:val="single" w:sz="8" w:color="0070C0"/>
            </w:tcBorders>
          </w:tcPr>
          <w:p>
            <w:pPr>
              <w:spacing w:after="0"/>
              <w:rPr>
                <w:sz w:val="21"/>
                <w:szCs w:val="21"/>
                <w:color w:val="auto"/>
              </w:rPr>
            </w:pPr>
          </w:p>
        </w:tc>
        <w:tc>
          <w:tcPr>
            <w:tcW w:w="224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9"/>
              </w:rPr>
              <w:t>Operating Profit Dollars</w:t>
            </w:r>
          </w:p>
        </w:tc>
        <w:tc>
          <w:tcPr>
            <w:tcW w:w="56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interest expenses or income tax related charges, and other</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20" w:type="dxa"/>
            <w:vAlign w:val="bottom"/>
            <w:shd w:val="clear" w:color="auto" w:fill="0070C0"/>
          </w:tcPr>
          <w:p>
            <w:pPr>
              <w:spacing w:after="0"/>
              <w:rPr>
                <w:sz w:val="21"/>
                <w:szCs w:val="21"/>
                <w:color w:val="auto"/>
              </w:rPr>
            </w:pPr>
          </w:p>
        </w:tc>
      </w:tr>
      <w:tr>
        <w:trPr>
          <w:trHeight w:val="258"/>
        </w:trPr>
        <w:tc>
          <w:tcPr>
            <w:tcW w:w="320" w:type="dxa"/>
            <w:vAlign w:val="bottom"/>
            <w:tcBorders>
              <w:right w:val="single" w:sz="8" w:color="0070C0"/>
            </w:tcBorders>
          </w:tcPr>
          <w:p>
            <w:pPr>
              <w:spacing w:after="0"/>
              <w:rPr>
                <w:sz w:val="22"/>
                <w:szCs w:val="22"/>
                <w:color w:val="auto"/>
              </w:rPr>
            </w:pPr>
          </w:p>
        </w:tc>
        <w:tc>
          <w:tcPr>
            <w:tcW w:w="2240" w:type="dxa"/>
            <w:vAlign w:val="bottom"/>
            <w:tcBorders>
              <w:right w:val="single" w:sz="8" w:color="0070C0"/>
            </w:tcBorders>
          </w:tcPr>
          <w:p>
            <w:pPr>
              <w:spacing w:after="0"/>
              <w:rPr>
                <w:sz w:val="22"/>
                <w:szCs w:val="22"/>
                <w:color w:val="auto"/>
              </w:rPr>
            </w:pPr>
          </w:p>
        </w:tc>
        <w:tc>
          <w:tcPr>
            <w:tcW w:w="56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management agreed non-GAAP adjusted charges</w:t>
            </w:r>
          </w:p>
        </w:tc>
        <w:tc>
          <w:tcPr>
            <w:tcW w:w="2020" w:type="dxa"/>
            <w:vAlign w:val="bottom"/>
          </w:tcPr>
          <w:p>
            <w:pPr>
              <w:spacing w:after="0"/>
              <w:rPr>
                <w:sz w:val="22"/>
                <w:szCs w:val="22"/>
                <w:color w:val="auto"/>
              </w:rPr>
            </w:pPr>
          </w:p>
        </w:tc>
        <w:tc>
          <w:tcPr>
            <w:tcW w:w="20" w:type="dxa"/>
            <w:vAlign w:val="bottom"/>
            <w:shd w:val="clear" w:color="auto" w:fill="0070C0"/>
          </w:tcPr>
          <w:p>
            <w:pPr>
              <w:spacing w:after="0"/>
              <w:rPr>
                <w:sz w:val="22"/>
                <w:szCs w:val="22"/>
                <w:color w:val="auto"/>
              </w:rPr>
            </w:pPr>
          </w:p>
        </w:tc>
      </w:tr>
      <w:tr>
        <w:trPr>
          <w:trHeight w:val="156"/>
        </w:trPr>
        <w:tc>
          <w:tcPr>
            <w:tcW w:w="320" w:type="dxa"/>
            <w:vAlign w:val="bottom"/>
            <w:tcBorders>
              <w:right w:val="single" w:sz="8" w:color="0070C0"/>
            </w:tcBorders>
          </w:tcPr>
          <w:p>
            <w:pPr>
              <w:spacing w:after="0"/>
              <w:rPr>
                <w:sz w:val="13"/>
                <w:szCs w:val="13"/>
                <w:color w:val="auto"/>
              </w:rPr>
            </w:pPr>
          </w:p>
        </w:tc>
        <w:tc>
          <w:tcPr>
            <w:tcW w:w="2240" w:type="dxa"/>
            <w:vAlign w:val="bottom"/>
            <w:tcBorders>
              <w:bottom w:val="single" w:sz="8" w:color="0070C0"/>
              <w:right w:val="single" w:sz="8" w:color="0070C0"/>
            </w:tcBorders>
          </w:tcPr>
          <w:p>
            <w:pPr>
              <w:spacing w:after="0"/>
              <w:rPr>
                <w:sz w:val="13"/>
                <w:szCs w:val="13"/>
                <w:color w:val="auto"/>
              </w:rPr>
            </w:pPr>
          </w:p>
        </w:tc>
        <w:tc>
          <w:tcPr>
            <w:tcW w:w="5600" w:type="dxa"/>
            <w:vAlign w:val="bottom"/>
            <w:tcBorders>
              <w:bottom w:val="single" w:sz="8" w:color="0070C0"/>
              <w:right w:val="single" w:sz="8" w:color="0070C0"/>
            </w:tcBorders>
          </w:tcPr>
          <w:p>
            <w:pPr>
              <w:spacing w:after="0"/>
              <w:rPr>
                <w:sz w:val="13"/>
                <w:szCs w:val="13"/>
                <w:color w:val="auto"/>
              </w:rPr>
            </w:pPr>
          </w:p>
        </w:tc>
        <w:tc>
          <w:tcPr>
            <w:tcW w:w="2020" w:type="dxa"/>
            <w:vAlign w:val="bottom"/>
            <w:tcBorders>
              <w:bottom w:val="single" w:sz="8" w:color="0070C0"/>
            </w:tcBorders>
          </w:tcPr>
          <w:p>
            <w:pPr>
              <w:spacing w:after="0"/>
              <w:rPr>
                <w:sz w:val="13"/>
                <w:szCs w:val="13"/>
                <w:color w:val="auto"/>
              </w:rPr>
            </w:pPr>
          </w:p>
        </w:tc>
        <w:tc>
          <w:tcPr>
            <w:tcW w:w="20" w:type="dxa"/>
            <w:vAlign w:val="bottom"/>
            <w:tcBorders>
              <w:bottom w:val="single" w:sz="8" w:color="0070C0"/>
            </w:tcBorders>
            <w:shd w:val="clear" w:color="auto" w:fill="0070C0"/>
          </w:tcPr>
          <w:p>
            <w:pPr>
              <w:spacing w:after="0"/>
              <w:rPr>
                <w:sz w:val="13"/>
                <w:szCs w:val="13"/>
                <w:color w:val="auto"/>
              </w:rPr>
            </w:pPr>
          </w:p>
        </w:tc>
      </w:tr>
      <w:tr>
        <w:trPr>
          <w:trHeight w:val="343"/>
        </w:trPr>
        <w:tc>
          <w:tcPr>
            <w:tcW w:w="8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weighting and definition of the Hasbro Strategic Scorecard metric is as follows:</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72" w:lineRule="exact"/>
        <w:rPr>
          <w:sz w:val="20"/>
          <w:szCs w:val="20"/>
          <w:color w:val="auto"/>
        </w:rPr>
      </w:pPr>
    </w:p>
    <w:tbl>
      <w:tblPr>
        <w:tblLayout w:type="fixed"/>
        <w:tblInd w:w="270" w:type="dxa"/>
        <w:tblCellMar>
          <w:top w:w="0" w:type="dxa"/>
          <w:left w:w="0" w:type="dxa"/>
          <w:bottom w:w="0" w:type="dxa"/>
          <w:right w:w="0" w:type="dxa"/>
        </w:tblCellMar>
      </w:tblPr>
      <w:tr>
        <w:trPr>
          <w:trHeight w:val="289"/>
        </w:trPr>
        <w:tc>
          <w:tcPr>
            <w:tcW w:w="2340" w:type="dxa"/>
            <w:vAlign w:val="bottom"/>
            <w:tcBorders>
              <w:left w:val="single" w:sz="8" w:color="0070C0"/>
              <w:right w:val="single" w:sz="8" w:color="0070C0"/>
            </w:tcBorders>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Metric</w:t>
            </w:r>
          </w:p>
        </w:tc>
        <w:tc>
          <w:tcPr>
            <w:tcW w:w="5560" w:type="dxa"/>
            <w:vAlign w:val="bottom"/>
            <w:tcBorders>
              <w:right w:val="single" w:sz="8" w:color="0070C0"/>
            </w:tcBorders>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rPr>
              <w:t>Definition</w:t>
            </w:r>
          </w:p>
        </w:tc>
        <w:tc>
          <w:tcPr>
            <w:tcW w:w="2120" w:type="dxa"/>
            <w:vAlign w:val="bottom"/>
            <w:tcBorders>
              <w:right w:val="single" w:sz="8" w:color="0070C0"/>
            </w:tcBorders>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Weighting</w:t>
            </w:r>
          </w:p>
        </w:tc>
      </w:tr>
      <w:tr>
        <w:trPr>
          <w:trHeight w:val="21"/>
        </w:trPr>
        <w:tc>
          <w:tcPr>
            <w:tcW w:w="2340" w:type="dxa"/>
            <w:vAlign w:val="bottom"/>
            <w:tcBorders>
              <w:left w:val="single" w:sz="8" w:color="0070C0"/>
              <w:bottom w:val="single" w:sz="8" w:color="0070C0"/>
              <w:right w:val="single" w:sz="8" w:color="0070C0"/>
            </w:tcBorders>
            <w:shd w:val="clear" w:color="auto" w:fill="0070C0"/>
          </w:tcPr>
          <w:p>
            <w:pPr>
              <w:spacing w:after="0" w:line="20" w:lineRule="exact"/>
              <w:rPr>
                <w:sz w:val="1"/>
                <w:szCs w:val="1"/>
                <w:color w:val="auto"/>
              </w:rPr>
            </w:pPr>
          </w:p>
        </w:tc>
        <w:tc>
          <w:tcPr>
            <w:tcW w:w="5560" w:type="dxa"/>
            <w:vAlign w:val="bottom"/>
            <w:tcBorders>
              <w:bottom w:val="single" w:sz="8" w:color="0070C0"/>
              <w:right w:val="single" w:sz="8" w:color="0070C0"/>
            </w:tcBorders>
            <w:shd w:val="clear" w:color="auto" w:fill="0070C0"/>
          </w:tcPr>
          <w:p>
            <w:pPr>
              <w:spacing w:after="0" w:line="20" w:lineRule="exact"/>
              <w:rPr>
                <w:sz w:val="1"/>
                <w:szCs w:val="1"/>
                <w:color w:val="auto"/>
              </w:rPr>
            </w:pPr>
          </w:p>
        </w:tc>
        <w:tc>
          <w:tcPr>
            <w:tcW w:w="2120" w:type="dxa"/>
            <w:vAlign w:val="bottom"/>
            <w:tcBorders>
              <w:bottom w:val="single" w:sz="8" w:color="0070C0"/>
              <w:right w:val="single" w:sz="8" w:color="0070C0"/>
            </w:tcBorders>
            <w:shd w:val="clear" w:color="auto" w:fill="0070C0"/>
          </w:tcPr>
          <w:p>
            <w:pPr>
              <w:spacing w:after="0" w:line="20" w:lineRule="exact"/>
              <w:rPr>
                <w:sz w:val="1"/>
                <w:szCs w:val="1"/>
                <w:color w:val="auto"/>
              </w:rPr>
            </w:pPr>
          </w:p>
        </w:tc>
      </w:tr>
      <w:tr>
        <w:trPr>
          <w:trHeight w:val="296"/>
        </w:trPr>
        <w:tc>
          <w:tcPr>
            <w:tcW w:w="2340" w:type="dxa"/>
            <w:vAlign w:val="bottom"/>
            <w:tcBorders>
              <w:left w:val="single" w:sz="8" w:color="0070C0"/>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Cost Savings</w:t>
            </w:r>
          </w:p>
        </w:tc>
        <w:tc>
          <w:tcPr>
            <w:tcW w:w="556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Net savings from operating model improvements</w:t>
            </w:r>
          </w:p>
        </w:tc>
        <w:tc>
          <w:tcPr>
            <w:tcW w:w="2120" w:type="dxa"/>
            <w:vAlign w:val="bottom"/>
            <w:tcBorders>
              <w:right w:val="single" w:sz="8" w:color="0070C0"/>
            </w:tcBorders>
          </w:tcPr>
          <w:p>
            <w:pPr>
              <w:jc w:val="right"/>
              <w:ind w:right="801"/>
              <w:spacing w:after="0"/>
              <w:rPr>
                <w:sz w:val="20"/>
                <w:szCs w:val="20"/>
                <w:color w:val="auto"/>
              </w:rPr>
            </w:pPr>
            <w:r>
              <w:rPr>
                <w:rFonts w:ascii="Times New Roman" w:cs="Times New Roman" w:eastAsia="Times New Roman" w:hAnsi="Times New Roman"/>
                <w:sz w:val="20"/>
                <w:szCs w:val="20"/>
                <w:color w:val="auto"/>
              </w:rPr>
              <w:t>20%</w:t>
            </w:r>
          </w:p>
        </w:tc>
      </w:tr>
      <w:tr>
        <w:trPr>
          <w:trHeight w:val="48"/>
        </w:trPr>
        <w:tc>
          <w:tcPr>
            <w:tcW w:w="2340" w:type="dxa"/>
            <w:vAlign w:val="bottom"/>
            <w:tcBorders>
              <w:left w:val="single" w:sz="8" w:color="0070C0"/>
              <w:bottom w:val="single" w:sz="8" w:color="0070C0"/>
              <w:right w:val="single" w:sz="8" w:color="0070C0"/>
            </w:tcBorders>
          </w:tcPr>
          <w:p>
            <w:pPr>
              <w:spacing w:after="0"/>
              <w:rPr>
                <w:sz w:val="4"/>
                <w:szCs w:val="4"/>
                <w:color w:val="auto"/>
              </w:rPr>
            </w:pPr>
          </w:p>
        </w:tc>
        <w:tc>
          <w:tcPr>
            <w:tcW w:w="5560" w:type="dxa"/>
            <w:vAlign w:val="bottom"/>
            <w:tcBorders>
              <w:bottom w:val="single" w:sz="8" w:color="0070C0"/>
              <w:right w:val="single" w:sz="8" w:color="0070C0"/>
            </w:tcBorders>
          </w:tcPr>
          <w:p>
            <w:pPr>
              <w:spacing w:after="0"/>
              <w:rPr>
                <w:sz w:val="4"/>
                <w:szCs w:val="4"/>
                <w:color w:val="auto"/>
              </w:rPr>
            </w:pPr>
          </w:p>
        </w:tc>
        <w:tc>
          <w:tcPr>
            <w:tcW w:w="2120" w:type="dxa"/>
            <w:vAlign w:val="bottom"/>
            <w:tcBorders>
              <w:bottom w:val="single" w:sz="8" w:color="0070C0"/>
              <w:right w:val="single" w:sz="8" w:color="0070C0"/>
            </w:tcBorders>
          </w:tcPr>
          <w:p>
            <w:pPr>
              <w:spacing w:after="0"/>
              <w:rPr>
                <w:sz w:val="4"/>
                <w:szCs w:val="4"/>
                <w:color w:val="auto"/>
              </w:rPr>
            </w:pPr>
          </w:p>
        </w:tc>
      </w:tr>
    </w:tbl>
    <w:p>
      <w:pPr>
        <w:spacing w:after="0" w:line="200" w:lineRule="exact"/>
        <w:rPr>
          <w:sz w:val="20"/>
          <w:szCs w:val="20"/>
          <w:color w:val="auto"/>
        </w:rPr>
      </w:pPr>
    </w:p>
    <w:p>
      <w:pPr>
        <w:spacing w:after="0" w:line="3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Business Unit Performance Metrics</w:t>
      </w:r>
    </w:p>
    <w:p>
      <w:pPr>
        <w:spacing w:after="0" w:line="260" w:lineRule="exact"/>
        <w:rPr>
          <w:sz w:val="20"/>
          <w:szCs w:val="20"/>
          <w:color w:val="auto"/>
        </w:rPr>
      </w:pPr>
    </w:p>
    <w:p>
      <w:pPr>
        <w:ind w:left="1300" w:hanging="8"/>
        <w:spacing w:after="0" w:line="250" w:lineRule="auto"/>
        <w:rPr>
          <w:sz w:val="20"/>
          <w:szCs w:val="20"/>
          <w:color w:val="auto"/>
        </w:rPr>
      </w:pPr>
      <w:r>
        <w:rPr>
          <w:rFonts w:ascii="Times New Roman" w:cs="Times New Roman" w:eastAsia="Times New Roman" w:hAnsi="Times New Roman"/>
          <w:sz w:val="22"/>
          <w:szCs w:val="22"/>
          <w:color w:val="auto"/>
        </w:rPr>
        <w:t>Each Business Unit will assess financial performance based on Net Revenue and Operating Profit Dollars specific to the respective Business Unit. Business Unit Financial Metrics Performance is determined by individually assessing Business Unit performance against goals for each metric, applying the performance scale, weighting each metric and summing the total. The Hasbro Strategic Scorecard is assessed by reviewing both quantitative and qualitative factors to determine the overall Hasbro Strategic Scorecard result. The results of both the Business Unit Financial Metrics Performance and the Hasbro Strategic Scorecard are then weighted to determine the overall Business Unit payout factor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774" w:right="35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weightings and definitions for the Business Unit Financial Metrics Performance are:</w:t>
      </w:r>
    </w:p>
    <w:p>
      <w:pPr>
        <w:spacing w:after="0" w:line="58" w:lineRule="exact"/>
        <w:rPr>
          <w:sz w:val="20"/>
          <w:szCs w:val="20"/>
          <w:color w:val="auto"/>
        </w:rPr>
      </w:pPr>
    </w:p>
    <w:tbl>
      <w:tblPr>
        <w:tblLayout w:type="fixed"/>
        <w:tblInd w:w="390" w:type="dxa"/>
        <w:tblCellMar>
          <w:top w:w="0" w:type="dxa"/>
          <w:left w:w="0" w:type="dxa"/>
          <w:bottom w:w="0" w:type="dxa"/>
          <w:right w:w="0" w:type="dxa"/>
        </w:tblCellMar>
      </w:tblPr>
      <w:tr>
        <w:trPr>
          <w:trHeight w:val="304"/>
        </w:trPr>
        <w:tc>
          <w:tcPr>
            <w:tcW w:w="2040" w:type="dxa"/>
            <w:vAlign w:val="bottom"/>
            <w:tcBorders>
              <w:left w:val="single" w:sz="8" w:color="0070C0"/>
              <w:bottom w:val="single" w:sz="8" w:color="0070C0"/>
              <w:right w:val="single" w:sz="8" w:color="0070C0"/>
            </w:tcBorders>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rPr>
              <w:t>Metric</w:t>
            </w:r>
          </w:p>
        </w:tc>
        <w:tc>
          <w:tcPr>
            <w:tcW w:w="5520" w:type="dxa"/>
            <w:vAlign w:val="bottom"/>
            <w:tcBorders>
              <w:bottom w:val="single" w:sz="8" w:color="0070C0"/>
              <w:right w:val="single" w:sz="8" w:color="0070C0"/>
            </w:tcBorders>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Definition</w:t>
            </w:r>
          </w:p>
        </w:tc>
        <w:tc>
          <w:tcPr>
            <w:tcW w:w="2000" w:type="dxa"/>
            <w:vAlign w:val="bottom"/>
            <w:tcBorders>
              <w:bottom w:val="single" w:sz="8" w:color="0070C0"/>
            </w:tcBorders>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Weighting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4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Business Unit Net</w:t>
            </w:r>
          </w:p>
        </w:tc>
        <w:tc>
          <w:tcPr>
            <w:tcW w:w="5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As applicable for the respective Business Unit: Third party gross</w:t>
            </w:r>
          </w:p>
        </w:tc>
        <w:tc>
          <w:tcPr>
            <w:tcW w:w="2000" w:type="dxa"/>
            <w:vAlign w:val="bottom"/>
          </w:tcPr>
          <w:p>
            <w:pPr>
              <w:spacing w:after="0"/>
              <w:rPr>
                <w:sz w:val="24"/>
                <w:szCs w:val="24"/>
                <w:color w:val="auto"/>
              </w:rPr>
            </w:pPr>
          </w:p>
        </w:tc>
        <w:tc>
          <w:tcPr>
            <w:tcW w:w="20" w:type="dxa"/>
            <w:vAlign w:val="bottom"/>
            <w:shd w:val="clear" w:color="auto" w:fill="0070C0"/>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0070C0"/>
              <w:right w:val="single" w:sz="8" w:color="0070C0"/>
            </w:tcBorders>
            <w:vMerge w:val="continue"/>
          </w:tcPr>
          <w:p>
            <w:pPr>
              <w:spacing w:after="0"/>
              <w:rPr>
                <w:sz w:val="10"/>
                <w:szCs w:val="10"/>
                <w:color w:val="auto"/>
              </w:rPr>
            </w:pPr>
          </w:p>
        </w:tc>
        <w:tc>
          <w:tcPr>
            <w:tcW w:w="5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sales (after returns) less sales allowances, plus third-party royalty</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20" w:type="dxa"/>
            <w:vAlign w:val="bottom"/>
            <w:shd w:val="clear" w:color="auto" w:fill="0070C0"/>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4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Revenue</w:t>
            </w:r>
          </w:p>
        </w:tc>
        <w:tc>
          <w:tcPr>
            <w:tcW w:w="5520" w:type="dxa"/>
            <w:vAlign w:val="bottom"/>
            <w:tcBorders>
              <w:right w:val="single" w:sz="8" w:color="0070C0"/>
            </w:tcBorders>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20" w:type="dxa"/>
            <w:vAlign w:val="bottom"/>
            <w:shd w:val="clear" w:color="auto" w:fill="0070C0"/>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40" w:type="dxa"/>
            <w:vAlign w:val="bottom"/>
            <w:tcBorders>
              <w:left w:val="single" w:sz="8" w:color="0070C0"/>
              <w:right w:val="single" w:sz="8" w:color="0070C0"/>
            </w:tcBorders>
            <w:vMerge w:val="continue"/>
          </w:tcPr>
          <w:p>
            <w:pPr>
              <w:spacing w:after="0"/>
              <w:rPr>
                <w:sz w:val="11"/>
                <w:szCs w:val="11"/>
                <w:color w:val="auto"/>
              </w:rPr>
            </w:pPr>
          </w:p>
        </w:tc>
        <w:tc>
          <w:tcPr>
            <w:tcW w:w="5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income, digital gaming revenue, and entertainment revenue</w:t>
            </w:r>
          </w:p>
        </w:tc>
        <w:tc>
          <w:tcPr>
            <w:tcW w:w="2000" w:type="dxa"/>
            <w:vAlign w:val="bottom"/>
          </w:tcPr>
          <w:p>
            <w:pPr>
              <w:spacing w:after="0"/>
              <w:rPr>
                <w:sz w:val="11"/>
                <w:szCs w:val="11"/>
                <w:color w:val="auto"/>
              </w:rPr>
            </w:pPr>
          </w:p>
        </w:tc>
        <w:tc>
          <w:tcPr>
            <w:tcW w:w="20" w:type="dxa"/>
            <w:vAlign w:val="bottom"/>
            <w:shd w:val="clear" w:color="auto" w:fill="0070C0"/>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40" w:type="dxa"/>
            <w:vAlign w:val="bottom"/>
            <w:tcBorders>
              <w:left w:val="single" w:sz="8" w:color="0070C0"/>
              <w:right w:val="single" w:sz="8" w:color="0070C0"/>
            </w:tcBorders>
          </w:tcPr>
          <w:p>
            <w:pPr>
              <w:spacing w:after="0"/>
              <w:rPr>
                <w:sz w:val="10"/>
                <w:szCs w:val="10"/>
                <w:color w:val="auto"/>
              </w:rPr>
            </w:pPr>
          </w:p>
        </w:tc>
        <w:tc>
          <w:tcPr>
            <w:tcW w:w="5520" w:type="dxa"/>
            <w:vAlign w:val="bottom"/>
            <w:tcBorders>
              <w:right w:val="single" w:sz="8" w:color="0070C0"/>
            </w:tcBorders>
            <w:vMerge w:val="continue"/>
          </w:tcPr>
          <w:p>
            <w:pPr>
              <w:spacing w:after="0"/>
              <w:rPr>
                <w:sz w:val="10"/>
                <w:szCs w:val="10"/>
                <w:color w:val="auto"/>
              </w:rPr>
            </w:pPr>
          </w:p>
        </w:tc>
        <w:tc>
          <w:tcPr>
            <w:tcW w:w="2000" w:type="dxa"/>
            <w:vAlign w:val="bottom"/>
          </w:tcPr>
          <w:p>
            <w:pPr>
              <w:spacing w:after="0"/>
              <w:rPr>
                <w:sz w:val="10"/>
                <w:szCs w:val="10"/>
                <w:color w:val="auto"/>
              </w:rPr>
            </w:pPr>
          </w:p>
        </w:tc>
        <w:tc>
          <w:tcPr>
            <w:tcW w:w="20" w:type="dxa"/>
            <w:vAlign w:val="bottom"/>
            <w:shd w:val="clear" w:color="auto" w:fill="0070C0"/>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40" w:type="dxa"/>
            <w:vAlign w:val="bottom"/>
            <w:tcBorders>
              <w:left w:val="single" w:sz="8" w:color="0070C0"/>
              <w:bottom w:val="single" w:sz="8" w:color="0070C0"/>
              <w:right w:val="single" w:sz="8" w:color="0070C0"/>
            </w:tcBorders>
          </w:tcPr>
          <w:p>
            <w:pPr>
              <w:spacing w:after="0"/>
              <w:rPr>
                <w:sz w:val="13"/>
                <w:szCs w:val="13"/>
                <w:color w:val="auto"/>
              </w:rPr>
            </w:pPr>
          </w:p>
        </w:tc>
        <w:tc>
          <w:tcPr>
            <w:tcW w:w="5520" w:type="dxa"/>
            <w:vAlign w:val="bottom"/>
            <w:tcBorders>
              <w:bottom w:val="single" w:sz="8" w:color="0070C0"/>
              <w:right w:val="single" w:sz="8" w:color="0070C0"/>
            </w:tcBorders>
          </w:tcPr>
          <w:p>
            <w:pPr>
              <w:spacing w:after="0"/>
              <w:rPr>
                <w:sz w:val="13"/>
                <w:szCs w:val="13"/>
                <w:color w:val="auto"/>
              </w:rPr>
            </w:pPr>
          </w:p>
        </w:tc>
        <w:tc>
          <w:tcPr>
            <w:tcW w:w="2000" w:type="dxa"/>
            <w:vAlign w:val="bottom"/>
            <w:tcBorders>
              <w:bottom w:val="single" w:sz="8" w:color="0070C0"/>
            </w:tcBorders>
          </w:tcPr>
          <w:p>
            <w:pPr>
              <w:spacing w:after="0"/>
              <w:rPr>
                <w:sz w:val="13"/>
                <w:szCs w:val="13"/>
                <w:color w:val="auto"/>
              </w:rPr>
            </w:pPr>
          </w:p>
        </w:tc>
        <w:tc>
          <w:tcPr>
            <w:tcW w:w="20" w:type="dxa"/>
            <w:vAlign w:val="bottom"/>
            <w:tcBorders>
              <w:bottom w:val="single" w:sz="8" w:color="0070C0"/>
            </w:tcBorders>
            <w:shd w:val="clear" w:color="auto" w:fill="0070C0"/>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204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Business Unit Operating</w:t>
            </w:r>
          </w:p>
        </w:tc>
        <w:tc>
          <w:tcPr>
            <w:tcW w:w="5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As applicable for the respective Business Unit: Total earnings from</w:t>
            </w:r>
          </w:p>
        </w:tc>
        <w:tc>
          <w:tcPr>
            <w:tcW w:w="2000" w:type="dxa"/>
            <w:vAlign w:val="bottom"/>
          </w:tcPr>
          <w:p>
            <w:pPr>
              <w:spacing w:after="0"/>
              <w:rPr>
                <w:sz w:val="24"/>
                <w:szCs w:val="24"/>
                <w:color w:val="auto"/>
              </w:rPr>
            </w:pPr>
          </w:p>
        </w:tc>
        <w:tc>
          <w:tcPr>
            <w:tcW w:w="20" w:type="dxa"/>
            <w:vAlign w:val="bottom"/>
            <w:shd w:val="clear" w:color="auto" w:fill="0070C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40" w:type="dxa"/>
            <w:vAlign w:val="bottom"/>
            <w:tcBorders>
              <w:left w:val="single" w:sz="8" w:color="0070C0"/>
              <w:right w:val="single" w:sz="8" w:color="0070C0"/>
            </w:tcBorders>
            <w:vMerge w:val="continue"/>
          </w:tcPr>
          <w:p>
            <w:pPr>
              <w:spacing w:after="0"/>
              <w:rPr>
                <w:sz w:val="21"/>
                <w:szCs w:val="21"/>
                <w:color w:val="auto"/>
              </w:rPr>
            </w:pPr>
          </w:p>
        </w:tc>
        <w:tc>
          <w:tcPr>
            <w:tcW w:w="5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operations excluding non-operating costs, interest expenses or</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20" w:type="dxa"/>
            <w:vAlign w:val="bottom"/>
            <w:shd w:val="clear" w:color="auto" w:fill="0070C0"/>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204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Profit Dollars</w:t>
            </w:r>
          </w:p>
        </w:tc>
        <w:tc>
          <w:tcPr>
            <w:tcW w:w="5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income tax related charges, and other management agreed non-</w:t>
            </w:r>
          </w:p>
        </w:tc>
        <w:tc>
          <w:tcPr>
            <w:tcW w:w="2000" w:type="dxa"/>
            <w:vAlign w:val="bottom"/>
            <w:vMerge w:val="continue"/>
          </w:tcPr>
          <w:p>
            <w:pPr>
              <w:spacing w:after="0"/>
              <w:rPr>
                <w:sz w:val="10"/>
                <w:szCs w:val="10"/>
                <w:color w:val="auto"/>
              </w:rPr>
            </w:pPr>
          </w:p>
        </w:tc>
        <w:tc>
          <w:tcPr>
            <w:tcW w:w="20" w:type="dxa"/>
            <w:vAlign w:val="bottom"/>
            <w:shd w:val="clear" w:color="auto" w:fill="0070C0"/>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40" w:type="dxa"/>
            <w:vAlign w:val="bottom"/>
            <w:tcBorders>
              <w:left w:val="single" w:sz="8" w:color="0070C0"/>
              <w:right w:val="single" w:sz="8" w:color="0070C0"/>
            </w:tcBorders>
            <w:vMerge w:val="continue"/>
          </w:tcPr>
          <w:p>
            <w:pPr>
              <w:spacing w:after="0"/>
              <w:rPr>
                <w:sz w:val="10"/>
                <w:szCs w:val="10"/>
                <w:color w:val="auto"/>
              </w:rPr>
            </w:pPr>
          </w:p>
        </w:tc>
        <w:tc>
          <w:tcPr>
            <w:tcW w:w="5520" w:type="dxa"/>
            <w:vAlign w:val="bottom"/>
            <w:tcBorders>
              <w:right w:val="single" w:sz="8" w:color="0070C0"/>
            </w:tcBorders>
            <w:vMerge w:val="continue"/>
          </w:tcPr>
          <w:p>
            <w:pPr>
              <w:spacing w:after="0"/>
              <w:rPr>
                <w:sz w:val="10"/>
                <w:szCs w:val="10"/>
                <w:color w:val="auto"/>
              </w:rPr>
            </w:pPr>
          </w:p>
        </w:tc>
        <w:tc>
          <w:tcPr>
            <w:tcW w:w="2000" w:type="dxa"/>
            <w:vAlign w:val="bottom"/>
          </w:tcPr>
          <w:p>
            <w:pPr>
              <w:spacing w:after="0"/>
              <w:rPr>
                <w:sz w:val="10"/>
                <w:szCs w:val="10"/>
                <w:color w:val="auto"/>
              </w:rPr>
            </w:pPr>
          </w:p>
        </w:tc>
        <w:tc>
          <w:tcPr>
            <w:tcW w:w="20" w:type="dxa"/>
            <w:vAlign w:val="bottom"/>
            <w:shd w:val="clear" w:color="auto" w:fill="0070C0"/>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40" w:type="dxa"/>
            <w:vAlign w:val="bottom"/>
            <w:tcBorders>
              <w:left w:val="single" w:sz="8" w:color="0070C0"/>
              <w:right w:val="single" w:sz="8" w:color="0070C0"/>
            </w:tcBorders>
          </w:tcPr>
          <w:p>
            <w:pPr>
              <w:spacing w:after="0"/>
              <w:rPr>
                <w:sz w:val="22"/>
                <w:szCs w:val="22"/>
                <w:color w:val="auto"/>
              </w:rPr>
            </w:pPr>
          </w:p>
        </w:tc>
        <w:tc>
          <w:tcPr>
            <w:tcW w:w="5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GAAP adjusted charges</w:t>
            </w:r>
          </w:p>
        </w:tc>
        <w:tc>
          <w:tcPr>
            <w:tcW w:w="2000" w:type="dxa"/>
            <w:vAlign w:val="bottom"/>
          </w:tcPr>
          <w:p>
            <w:pPr>
              <w:spacing w:after="0"/>
              <w:rPr>
                <w:sz w:val="22"/>
                <w:szCs w:val="22"/>
                <w:color w:val="auto"/>
              </w:rPr>
            </w:pPr>
          </w:p>
        </w:tc>
        <w:tc>
          <w:tcPr>
            <w:tcW w:w="20" w:type="dxa"/>
            <w:vAlign w:val="bottom"/>
            <w:shd w:val="clear" w:color="auto" w:fill="0070C0"/>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40" w:type="dxa"/>
            <w:vAlign w:val="bottom"/>
            <w:tcBorders>
              <w:left w:val="single" w:sz="8" w:color="0070C0"/>
              <w:bottom w:val="single" w:sz="8" w:color="0070C0"/>
              <w:right w:val="single" w:sz="8" w:color="0070C0"/>
            </w:tcBorders>
          </w:tcPr>
          <w:p>
            <w:pPr>
              <w:spacing w:after="0"/>
              <w:rPr>
                <w:sz w:val="12"/>
                <w:szCs w:val="12"/>
                <w:color w:val="auto"/>
              </w:rPr>
            </w:pPr>
          </w:p>
        </w:tc>
        <w:tc>
          <w:tcPr>
            <w:tcW w:w="5520" w:type="dxa"/>
            <w:vAlign w:val="bottom"/>
            <w:tcBorders>
              <w:bottom w:val="single" w:sz="8" w:color="0070C0"/>
              <w:right w:val="single" w:sz="8" w:color="0070C0"/>
            </w:tcBorders>
          </w:tcPr>
          <w:p>
            <w:pPr>
              <w:spacing w:after="0"/>
              <w:rPr>
                <w:sz w:val="12"/>
                <w:szCs w:val="12"/>
                <w:color w:val="auto"/>
              </w:rPr>
            </w:pPr>
          </w:p>
        </w:tc>
        <w:tc>
          <w:tcPr>
            <w:tcW w:w="2000" w:type="dxa"/>
            <w:vAlign w:val="bottom"/>
            <w:tcBorders>
              <w:bottom w:val="single" w:sz="8" w:color="0070C0"/>
            </w:tcBorders>
          </w:tcPr>
          <w:p>
            <w:pPr>
              <w:spacing w:after="0"/>
              <w:rPr>
                <w:sz w:val="12"/>
                <w:szCs w:val="12"/>
                <w:color w:val="auto"/>
              </w:rPr>
            </w:pPr>
          </w:p>
        </w:tc>
        <w:tc>
          <w:tcPr>
            <w:tcW w:w="20" w:type="dxa"/>
            <w:vAlign w:val="bottom"/>
            <w:tcBorders>
              <w:bottom w:val="single" w:sz="8" w:color="0070C0"/>
            </w:tcBorders>
            <w:shd w:val="clear" w:color="auto" w:fill="0070C0"/>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weighting and definition for the Hasbro Strategic Scorecard metric is as follows:</w:t>
      </w:r>
    </w:p>
    <w:p>
      <w:pPr>
        <w:spacing w:after="0" w:line="328" w:lineRule="exact"/>
        <w:rPr>
          <w:sz w:val="20"/>
          <w:szCs w:val="20"/>
          <w:color w:val="auto"/>
        </w:rPr>
      </w:pPr>
    </w:p>
    <w:tbl>
      <w:tblPr>
        <w:tblLayout w:type="fixed"/>
        <w:tblInd w:w="390" w:type="dxa"/>
        <w:tblCellMar>
          <w:top w:w="0" w:type="dxa"/>
          <w:left w:w="0" w:type="dxa"/>
          <w:bottom w:w="0" w:type="dxa"/>
          <w:right w:w="0" w:type="dxa"/>
        </w:tblCellMar>
      </w:tblPr>
      <w:tr>
        <w:trPr>
          <w:trHeight w:val="290"/>
        </w:trPr>
        <w:tc>
          <w:tcPr>
            <w:tcW w:w="2100" w:type="dxa"/>
            <w:vAlign w:val="bottom"/>
            <w:tcBorders>
              <w:left w:val="single" w:sz="8" w:color="0070C0"/>
              <w:right w:val="single" w:sz="8" w:color="0070C0"/>
            </w:tcBorders>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Metric</w:t>
            </w:r>
          </w:p>
        </w:tc>
        <w:tc>
          <w:tcPr>
            <w:tcW w:w="5580" w:type="dxa"/>
            <w:vAlign w:val="bottom"/>
            <w:tcBorders>
              <w:right w:val="single" w:sz="8" w:color="0070C0"/>
            </w:tcBorders>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rPr>
              <w:t>Definition</w:t>
            </w:r>
          </w:p>
        </w:tc>
        <w:tc>
          <w:tcPr>
            <w:tcW w:w="1920" w:type="dxa"/>
            <w:vAlign w:val="bottom"/>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Weighting</w:t>
            </w:r>
          </w:p>
        </w:tc>
        <w:tc>
          <w:tcPr>
            <w:tcW w:w="20" w:type="dxa"/>
            <w:vAlign w:val="bottom"/>
          </w:tcPr>
          <w:p>
            <w:pPr>
              <w:spacing w:after="0"/>
              <w:rPr>
                <w:sz w:val="24"/>
                <w:szCs w:val="24"/>
                <w:color w:val="auto"/>
              </w:rPr>
            </w:pPr>
          </w:p>
        </w:tc>
      </w:tr>
      <w:tr>
        <w:trPr>
          <w:trHeight w:val="21"/>
        </w:trPr>
        <w:tc>
          <w:tcPr>
            <w:tcW w:w="2100" w:type="dxa"/>
            <w:vAlign w:val="bottom"/>
            <w:tcBorders>
              <w:left w:val="single" w:sz="8" w:color="0070C0"/>
              <w:bottom w:val="single" w:sz="8" w:color="0070C0"/>
              <w:right w:val="single" w:sz="8" w:color="0070C0"/>
            </w:tcBorders>
            <w:shd w:val="clear" w:color="auto" w:fill="0070C0"/>
          </w:tcPr>
          <w:p>
            <w:pPr>
              <w:spacing w:after="0" w:line="20" w:lineRule="exact"/>
              <w:rPr>
                <w:sz w:val="1"/>
                <w:szCs w:val="1"/>
                <w:color w:val="auto"/>
              </w:rPr>
            </w:pPr>
          </w:p>
        </w:tc>
        <w:tc>
          <w:tcPr>
            <w:tcW w:w="5580" w:type="dxa"/>
            <w:vAlign w:val="bottom"/>
            <w:tcBorders>
              <w:bottom w:val="single" w:sz="8" w:color="0070C0"/>
              <w:right w:val="single" w:sz="8" w:color="0070C0"/>
            </w:tcBorders>
            <w:shd w:val="clear" w:color="auto" w:fill="0070C0"/>
          </w:tcPr>
          <w:p>
            <w:pPr>
              <w:spacing w:after="0" w:line="20" w:lineRule="exact"/>
              <w:rPr>
                <w:sz w:val="1"/>
                <w:szCs w:val="1"/>
                <w:color w:val="auto"/>
              </w:rPr>
            </w:pPr>
          </w:p>
        </w:tc>
        <w:tc>
          <w:tcPr>
            <w:tcW w:w="1920" w:type="dxa"/>
            <w:vAlign w:val="bottom"/>
            <w:tcBorders>
              <w:bottom w:val="single" w:sz="8" w:color="0070C0"/>
            </w:tcBorders>
            <w:shd w:val="clear" w:color="auto" w:fill="0070C0"/>
          </w:tcPr>
          <w:p>
            <w:pPr>
              <w:spacing w:after="0" w:line="20" w:lineRule="exact"/>
              <w:rPr>
                <w:sz w:val="1"/>
                <w:szCs w:val="1"/>
                <w:color w:val="auto"/>
              </w:rPr>
            </w:pPr>
          </w:p>
        </w:tc>
        <w:tc>
          <w:tcPr>
            <w:tcW w:w="20" w:type="dxa"/>
            <w:vAlign w:val="bottom"/>
            <w:tcBorders>
              <w:bottom w:val="single" w:sz="8" w:color="0070C0"/>
            </w:tcBorders>
          </w:tcPr>
          <w:p>
            <w:pPr>
              <w:spacing w:after="0" w:line="20" w:lineRule="exact"/>
              <w:rPr>
                <w:sz w:val="1"/>
                <w:szCs w:val="1"/>
                <w:color w:val="auto"/>
              </w:rPr>
            </w:pPr>
          </w:p>
        </w:tc>
      </w:tr>
      <w:tr>
        <w:trPr>
          <w:trHeight w:val="297"/>
        </w:trPr>
        <w:tc>
          <w:tcPr>
            <w:tcW w:w="2100" w:type="dxa"/>
            <w:vAlign w:val="bottom"/>
            <w:tcBorders>
              <w:left w:val="single" w:sz="8" w:color="0070C0"/>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7"/>
              </w:rPr>
              <w:t>Cost Savings</w:t>
            </w:r>
          </w:p>
        </w:tc>
        <w:tc>
          <w:tcPr>
            <w:tcW w:w="558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Net savings from operating model improvements</w:t>
            </w:r>
          </w:p>
        </w:tc>
        <w:tc>
          <w:tcPr>
            <w:tcW w:w="192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shd w:val="clear" w:color="auto" w:fill="0070C0"/>
          </w:tcPr>
          <w:p>
            <w:pPr>
              <w:spacing w:after="0"/>
              <w:rPr>
                <w:sz w:val="24"/>
                <w:szCs w:val="24"/>
                <w:color w:val="auto"/>
              </w:rPr>
            </w:pPr>
          </w:p>
        </w:tc>
      </w:tr>
      <w:tr>
        <w:trPr>
          <w:trHeight w:val="48"/>
        </w:trPr>
        <w:tc>
          <w:tcPr>
            <w:tcW w:w="2100" w:type="dxa"/>
            <w:vAlign w:val="bottom"/>
            <w:tcBorders>
              <w:left w:val="single" w:sz="8" w:color="0070C0"/>
              <w:bottom w:val="single" w:sz="8" w:color="0070C0"/>
              <w:right w:val="single" w:sz="8" w:color="0070C0"/>
            </w:tcBorders>
          </w:tcPr>
          <w:p>
            <w:pPr>
              <w:spacing w:after="0"/>
              <w:rPr>
                <w:sz w:val="4"/>
                <w:szCs w:val="4"/>
                <w:color w:val="auto"/>
              </w:rPr>
            </w:pPr>
          </w:p>
        </w:tc>
        <w:tc>
          <w:tcPr>
            <w:tcW w:w="5580" w:type="dxa"/>
            <w:vAlign w:val="bottom"/>
            <w:tcBorders>
              <w:bottom w:val="single" w:sz="8" w:color="0070C0"/>
              <w:right w:val="single" w:sz="8" w:color="0070C0"/>
            </w:tcBorders>
          </w:tcPr>
          <w:p>
            <w:pPr>
              <w:spacing w:after="0"/>
              <w:rPr>
                <w:sz w:val="4"/>
                <w:szCs w:val="4"/>
                <w:color w:val="auto"/>
              </w:rPr>
            </w:pPr>
          </w:p>
        </w:tc>
        <w:tc>
          <w:tcPr>
            <w:tcW w:w="1920" w:type="dxa"/>
            <w:vAlign w:val="bottom"/>
            <w:tcBorders>
              <w:bottom w:val="single" w:sz="8" w:color="0070C0"/>
            </w:tcBorders>
          </w:tcPr>
          <w:p>
            <w:pPr>
              <w:spacing w:after="0"/>
              <w:rPr>
                <w:sz w:val="4"/>
                <w:szCs w:val="4"/>
                <w:color w:val="auto"/>
              </w:rPr>
            </w:pPr>
          </w:p>
        </w:tc>
        <w:tc>
          <w:tcPr>
            <w:tcW w:w="20" w:type="dxa"/>
            <w:vAlign w:val="bottom"/>
            <w:tcBorders>
              <w:bottom w:val="single" w:sz="8" w:color="0070C0"/>
            </w:tcBorders>
            <w:shd w:val="clear" w:color="auto" w:fill="0070C0"/>
          </w:tcPr>
          <w:p>
            <w:pPr>
              <w:spacing w:after="0"/>
              <w:rPr>
                <w:sz w:val="4"/>
                <w:szCs w:val="4"/>
                <w:color w:val="auto"/>
              </w:rPr>
            </w:pPr>
          </w:p>
        </w:tc>
      </w:tr>
    </w:tbl>
    <w:p>
      <w:pPr>
        <w:spacing w:after="0" w:line="32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4.0</w:t>
      </w:r>
      <w:r>
        <w:rPr>
          <w:sz w:val="20"/>
          <w:szCs w:val="20"/>
          <w:color w:val="auto"/>
        </w:rPr>
        <w:tab/>
      </w:r>
      <w:r>
        <w:rPr>
          <w:rFonts w:ascii="Times New Roman" w:cs="Times New Roman" w:eastAsia="Times New Roman" w:hAnsi="Times New Roman"/>
          <w:sz w:val="21"/>
          <w:szCs w:val="21"/>
          <w:u w:val="single" w:color="auto"/>
          <w:color w:val="auto"/>
        </w:rPr>
        <w:t>Development of Funding Pools</w:t>
      </w:r>
    </w:p>
    <w:p>
      <w:pPr>
        <w:spacing w:after="0" w:line="260"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22"/>
          <w:szCs w:val="22"/>
          <w:color w:val="auto"/>
        </w:rPr>
        <w:t>After the end of the fiscal year, the actual performance for Total Hasbro and each of the Business Units will be calculated (based on Total Hasbro and the respective Business Unit’s performance against the target goals established for each financial and strategic performance metric as of fiscal year-end) and approved by the Company’s Chief Financial Officer. The performance scales for the financial metrics for the Total Hasbro Plan and Business Unit Plans, as applicable,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40"/>
          </w:cols>
          <w:pgMar w:left="320" w:top="1440" w:right="43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289"/>
        </w:trPr>
        <w:tc>
          <w:tcPr>
            <w:tcW w:w="3280" w:type="dxa"/>
            <w:vAlign w:val="bottom"/>
            <w:tcBorders>
              <w:left w:val="single" w:sz="8" w:color="0070C0"/>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rPr>
              <w:t>Metric</w:t>
            </w:r>
          </w:p>
        </w:tc>
        <w:tc>
          <w:tcPr>
            <w:tcW w:w="104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Weight</w:t>
            </w:r>
          </w:p>
        </w:tc>
        <w:tc>
          <w:tcPr>
            <w:tcW w:w="186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Category</w:t>
            </w:r>
          </w:p>
        </w:tc>
        <w:tc>
          <w:tcPr>
            <w:tcW w:w="3740" w:type="dxa"/>
            <w:vAlign w:val="bottom"/>
            <w:tcBorders>
              <w:right w:val="single" w:sz="8" w:color="0070C0"/>
            </w:tcBorders>
            <w:gridSpan w:val="2"/>
            <w:shd w:val="clear" w:color="auto" w:fill="0070C0"/>
          </w:tcPr>
          <w:p>
            <w:pPr>
              <w:ind w:left="1640"/>
              <w:spacing w:after="0"/>
              <w:rPr>
                <w:sz w:val="20"/>
                <w:szCs w:val="20"/>
                <w:color w:val="auto"/>
              </w:rPr>
            </w:pPr>
            <w:r>
              <w:rPr>
                <w:rFonts w:ascii="Times New Roman" w:cs="Times New Roman" w:eastAsia="Times New Roman" w:hAnsi="Times New Roman"/>
                <w:sz w:val="20"/>
                <w:szCs w:val="20"/>
                <w:b w:val="1"/>
                <w:bCs w:val="1"/>
                <w:color w:val="FFFFFF"/>
              </w:rPr>
              <w:t>Performance Ranges</w:t>
            </w:r>
          </w:p>
        </w:tc>
        <w:tc>
          <w:tcPr>
            <w:tcW w:w="1340" w:type="dxa"/>
            <w:vAlign w:val="bottom"/>
            <w:tcBorders>
              <w:right w:val="single" w:sz="8" w:color="0070C0"/>
            </w:tcBorders>
            <w:shd w:val="clear" w:color="auto" w:fill="0070C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80" w:type="dxa"/>
            <w:vAlign w:val="bottom"/>
            <w:tcBorders>
              <w:left w:val="single" w:sz="8" w:color="0070C0"/>
              <w:right w:val="single" w:sz="8" w:color="0070C0"/>
            </w:tcBorders>
            <w:vMerge w:val="continue"/>
            <w:shd w:val="clear" w:color="auto" w:fill="0070C0"/>
          </w:tcPr>
          <w:p>
            <w:pPr>
              <w:spacing w:after="0"/>
              <w:rPr>
                <w:sz w:val="14"/>
                <w:szCs w:val="14"/>
                <w:color w:val="auto"/>
              </w:rPr>
            </w:pPr>
          </w:p>
        </w:tc>
        <w:tc>
          <w:tcPr>
            <w:tcW w:w="1040" w:type="dxa"/>
            <w:vAlign w:val="bottom"/>
            <w:tcBorders>
              <w:right w:val="single" w:sz="8" w:color="0070C0"/>
            </w:tcBorders>
            <w:vMerge w:val="continue"/>
            <w:shd w:val="clear" w:color="auto" w:fill="0070C0"/>
          </w:tcPr>
          <w:p>
            <w:pPr>
              <w:spacing w:after="0"/>
              <w:rPr>
                <w:sz w:val="14"/>
                <w:szCs w:val="14"/>
                <w:color w:val="auto"/>
              </w:rPr>
            </w:pPr>
          </w:p>
        </w:tc>
        <w:tc>
          <w:tcPr>
            <w:tcW w:w="1860" w:type="dxa"/>
            <w:vAlign w:val="bottom"/>
            <w:tcBorders>
              <w:right w:val="single" w:sz="8" w:color="0070C0"/>
            </w:tcBorders>
            <w:vMerge w:val="continue"/>
            <w:shd w:val="clear" w:color="auto" w:fill="0070C0"/>
          </w:tcPr>
          <w:p>
            <w:pPr>
              <w:spacing w:after="0"/>
              <w:rPr>
                <w:sz w:val="14"/>
                <w:szCs w:val="14"/>
                <w:color w:val="auto"/>
              </w:rPr>
            </w:pPr>
          </w:p>
        </w:tc>
        <w:tc>
          <w:tcPr>
            <w:tcW w:w="252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Minimum/Threshold</w:t>
            </w:r>
          </w:p>
        </w:tc>
        <w:tc>
          <w:tcPr>
            <w:tcW w:w="122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Target</w:t>
            </w:r>
          </w:p>
        </w:tc>
        <w:tc>
          <w:tcPr>
            <w:tcW w:w="134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Maximum</w:t>
            </w:r>
          </w:p>
        </w:tc>
        <w:tc>
          <w:tcPr>
            <w:tcW w:w="0" w:type="dxa"/>
            <w:vAlign w:val="bottom"/>
          </w:tcPr>
          <w:p>
            <w:pPr>
              <w:spacing w:after="0"/>
              <w:rPr>
                <w:sz w:val="1"/>
                <w:szCs w:val="1"/>
                <w:color w:val="auto"/>
              </w:rPr>
            </w:pPr>
          </w:p>
        </w:tc>
      </w:tr>
      <w:tr>
        <w:trPr>
          <w:trHeight w:val="162"/>
        </w:trPr>
        <w:tc>
          <w:tcPr>
            <w:tcW w:w="3280" w:type="dxa"/>
            <w:vAlign w:val="bottom"/>
            <w:tcBorders>
              <w:left w:val="single" w:sz="8" w:color="0070C0"/>
              <w:right w:val="single" w:sz="8" w:color="0070C0"/>
            </w:tcBorders>
            <w:shd w:val="clear" w:color="auto" w:fill="0070C0"/>
          </w:tcPr>
          <w:p>
            <w:pPr>
              <w:spacing w:after="0"/>
              <w:rPr>
                <w:sz w:val="14"/>
                <w:szCs w:val="14"/>
                <w:color w:val="auto"/>
              </w:rPr>
            </w:pPr>
          </w:p>
        </w:tc>
        <w:tc>
          <w:tcPr>
            <w:tcW w:w="1040" w:type="dxa"/>
            <w:vAlign w:val="bottom"/>
            <w:tcBorders>
              <w:right w:val="single" w:sz="8" w:color="0070C0"/>
            </w:tcBorders>
            <w:shd w:val="clear" w:color="auto" w:fill="0070C0"/>
          </w:tcPr>
          <w:p>
            <w:pPr>
              <w:spacing w:after="0"/>
              <w:rPr>
                <w:sz w:val="14"/>
                <w:szCs w:val="14"/>
                <w:color w:val="auto"/>
              </w:rPr>
            </w:pPr>
          </w:p>
        </w:tc>
        <w:tc>
          <w:tcPr>
            <w:tcW w:w="1860" w:type="dxa"/>
            <w:vAlign w:val="bottom"/>
            <w:tcBorders>
              <w:right w:val="single" w:sz="8" w:color="0070C0"/>
            </w:tcBorders>
            <w:shd w:val="clear" w:color="auto" w:fill="0070C0"/>
          </w:tcPr>
          <w:p>
            <w:pPr>
              <w:spacing w:after="0"/>
              <w:rPr>
                <w:sz w:val="14"/>
                <w:szCs w:val="14"/>
                <w:color w:val="auto"/>
              </w:rPr>
            </w:pPr>
          </w:p>
        </w:tc>
        <w:tc>
          <w:tcPr>
            <w:tcW w:w="2520" w:type="dxa"/>
            <w:vAlign w:val="bottom"/>
            <w:tcBorders>
              <w:right w:val="single" w:sz="8" w:color="0070C0"/>
            </w:tcBorders>
            <w:vMerge w:val="continue"/>
            <w:shd w:val="clear" w:color="auto" w:fill="0070C0"/>
          </w:tcPr>
          <w:p>
            <w:pPr>
              <w:spacing w:after="0"/>
              <w:rPr>
                <w:sz w:val="14"/>
                <w:szCs w:val="14"/>
                <w:color w:val="auto"/>
              </w:rPr>
            </w:pPr>
          </w:p>
        </w:tc>
        <w:tc>
          <w:tcPr>
            <w:tcW w:w="1220" w:type="dxa"/>
            <w:vAlign w:val="bottom"/>
            <w:tcBorders>
              <w:right w:val="single" w:sz="8" w:color="0070C0"/>
            </w:tcBorders>
            <w:vMerge w:val="continue"/>
            <w:shd w:val="clear" w:color="auto" w:fill="0070C0"/>
          </w:tcPr>
          <w:p>
            <w:pPr>
              <w:spacing w:after="0"/>
              <w:rPr>
                <w:sz w:val="14"/>
                <w:szCs w:val="14"/>
                <w:color w:val="auto"/>
              </w:rPr>
            </w:pPr>
          </w:p>
        </w:tc>
        <w:tc>
          <w:tcPr>
            <w:tcW w:w="1340" w:type="dxa"/>
            <w:vAlign w:val="bottom"/>
            <w:tcBorders>
              <w:right w:val="single" w:sz="8" w:color="0070C0"/>
            </w:tcBorders>
            <w:vMerge w:val="continue"/>
            <w:shd w:val="clear" w:color="auto" w:fill="0070C0"/>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280" w:type="dxa"/>
            <w:vAlign w:val="bottom"/>
            <w:tcBorders>
              <w:left w:val="single" w:sz="8" w:color="0070C0"/>
              <w:bottom w:val="single" w:sz="8" w:color="0070C0"/>
              <w:right w:val="single" w:sz="8" w:color="0070C0"/>
            </w:tcBorders>
            <w:shd w:val="clear" w:color="auto" w:fill="0070C0"/>
          </w:tcPr>
          <w:p>
            <w:pPr>
              <w:spacing w:after="0"/>
              <w:rPr>
                <w:sz w:val="3"/>
                <w:szCs w:val="3"/>
                <w:color w:val="auto"/>
              </w:rPr>
            </w:pPr>
          </w:p>
        </w:tc>
        <w:tc>
          <w:tcPr>
            <w:tcW w:w="1040" w:type="dxa"/>
            <w:vAlign w:val="bottom"/>
            <w:tcBorders>
              <w:bottom w:val="single" w:sz="8" w:color="0070C0"/>
              <w:right w:val="single" w:sz="8" w:color="0070C0"/>
            </w:tcBorders>
            <w:shd w:val="clear" w:color="auto" w:fill="0070C0"/>
          </w:tcPr>
          <w:p>
            <w:pPr>
              <w:spacing w:after="0"/>
              <w:rPr>
                <w:sz w:val="3"/>
                <w:szCs w:val="3"/>
                <w:color w:val="auto"/>
              </w:rPr>
            </w:pPr>
          </w:p>
        </w:tc>
        <w:tc>
          <w:tcPr>
            <w:tcW w:w="1860" w:type="dxa"/>
            <w:vAlign w:val="bottom"/>
            <w:tcBorders>
              <w:bottom w:val="single" w:sz="8" w:color="0070C0"/>
              <w:right w:val="single" w:sz="8" w:color="0070C0"/>
            </w:tcBorders>
            <w:shd w:val="clear" w:color="auto" w:fill="0070C0"/>
          </w:tcPr>
          <w:p>
            <w:pPr>
              <w:spacing w:after="0"/>
              <w:rPr>
                <w:sz w:val="3"/>
                <w:szCs w:val="3"/>
                <w:color w:val="auto"/>
              </w:rPr>
            </w:pPr>
          </w:p>
        </w:tc>
        <w:tc>
          <w:tcPr>
            <w:tcW w:w="2520" w:type="dxa"/>
            <w:vAlign w:val="bottom"/>
            <w:tcBorders>
              <w:bottom w:val="single" w:sz="8" w:color="0070C0"/>
              <w:right w:val="single" w:sz="8" w:color="0070C0"/>
            </w:tcBorders>
            <w:shd w:val="clear" w:color="auto" w:fill="0070C0"/>
          </w:tcPr>
          <w:p>
            <w:pPr>
              <w:spacing w:after="0"/>
              <w:rPr>
                <w:sz w:val="3"/>
                <w:szCs w:val="3"/>
                <w:color w:val="auto"/>
              </w:rPr>
            </w:pPr>
          </w:p>
        </w:tc>
        <w:tc>
          <w:tcPr>
            <w:tcW w:w="1220" w:type="dxa"/>
            <w:vAlign w:val="bottom"/>
            <w:tcBorders>
              <w:bottom w:val="single" w:sz="8" w:color="0070C0"/>
              <w:right w:val="single" w:sz="8" w:color="0070C0"/>
            </w:tcBorders>
            <w:shd w:val="clear" w:color="auto" w:fill="0070C0"/>
          </w:tcPr>
          <w:p>
            <w:pPr>
              <w:spacing w:after="0"/>
              <w:rPr>
                <w:sz w:val="3"/>
                <w:szCs w:val="3"/>
                <w:color w:val="auto"/>
              </w:rPr>
            </w:pPr>
          </w:p>
        </w:tc>
        <w:tc>
          <w:tcPr>
            <w:tcW w:w="1340" w:type="dxa"/>
            <w:vAlign w:val="bottom"/>
            <w:tcBorders>
              <w:bottom w:val="single" w:sz="8" w:color="0070C0"/>
              <w:right w:val="single" w:sz="8" w:color="0070C0"/>
            </w:tcBorders>
            <w:shd w:val="clear" w:color="auto" w:fill="0070C0"/>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28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Total Hasbro Net Revenue</w:t>
            </w:r>
          </w:p>
        </w:tc>
        <w:tc>
          <w:tcPr>
            <w:tcW w:w="104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186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9"/>
              </w:rPr>
              <w:t>% Achievement</w:t>
            </w:r>
          </w:p>
        </w:tc>
        <w:tc>
          <w:tcPr>
            <w:tcW w:w="2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90%</w:t>
            </w:r>
          </w:p>
        </w:tc>
        <w:tc>
          <w:tcPr>
            <w:tcW w:w="12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4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4"/>
              </w:rPr>
              <w:t>110%</w:t>
            </w:r>
          </w:p>
        </w:tc>
        <w:tc>
          <w:tcPr>
            <w:tcW w:w="0" w:type="dxa"/>
            <w:vAlign w:val="bottom"/>
          </w:tcPr>
          <w:p>
            <w:pPr>
              <w:spacing w:after="0"/>
              <w:rPr>
                <w:sz w:val="1"/>
                <w:szCs w:val="1"/>
                <w:color w:val="auto"/>
              </w:rPr>
            </w:pPr>
          </w:p>
        </w:tc>
      </w:tr>
      <w:tr>
        <w:trPr>
          <w:trHeight w:val="21"/>
        </w:trPr>
        <w:tc>
          <w:tcPr>
            <w:tcW w:w="3280" w:type="dxa"/>
            <w:vAlign w:val="bottom"/>
            <w:tcBorders>
              <w:left w:val="single" w:sz="8" w:color="0070C0"/>
              <w:right w:val="single" w:sz="8" w:color="0070C0"/>
            </w:tcBorders>
            <w:vMerge w:val="continue"/>
          </w:tcPr>
          <w:p>
            <w:pPr>
              <w:spacing w:after="0" w:line="20" w:lineRule="exact"/>
              <w:rPr>
                <w:sz w:val="1"/>
                <w:szCs w:val="1"/>
                <w:color w:val="auto"/>
              </w:rPr>
            </w:pPr>
          </w:p>
        </w:tc>
        <w:tc>
          <w:tcPr>
            <w:tcW w:w="1040" w:type="dxa"/>
            <w:vAlign w:val="bottom"/>
            <w:tcBorders>
              <w:right w:val="single" w:sz="8" w:color="0070C0"/>
            </w:tcBorders>
            <w:vMerge w:val="continue"/>
          </w:tcPr>
          <w:p>
            <w:pPr>
              <w:spacing w:after="0" w:line="20" w:lineRule="exact"/>
              <w:rPr>
                <w:sz w:val="1"/>
                <w:szCs w:val="1"/>
                <w:color w:val="auto"/>
              </w:rPr>
            </w:pPr>
          </w:p>
        </w:tc>
        <w:tc>
          <w:tcPr>
            <w:tcW w:w="186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20" w:type="dxa"/>
            <w:vAlign w:val="bottom"/>
            <w:tcBorders>
              <w:bottom w:val="single" w:sz="8" w:color="0070C0"/>
              <w:right w:val="single" w:sz="8" w:color="0070C0"/>
            </w:tcBorders>
          </w:tcPr>
          <w:p>
            <w:pPr>
              <w:spacing w:after="0" w:line="20" w:lineRule="exact"/>
              <w:rPr>
                <w:sz w:val="1"/>
                <w:szCs w:val="1"/>
                <w:color w:val="auto"/>
              </w:rPr>
            </w:pPr>
          </w:p>
        </w:tc>
        <w:tc>
          <w:tcPr>
            <w:tcW w:w="1340" w:type="dxa"/>
            <w:vAlign w:val="bottom"/>
            <w:tcBorders>
              <w:bottom w:val="single" w:sz="8" w:color="0070C0"/>
              <w:right w:val="single" w:sz="8" w:color="0070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3280" w:type="dxa"/>
            <w:vAlign w:val="bottom"/>
            <w:tcBorders>
              <w:left w:val="single" w:sz="8" w:color="0070C0"/>
              <w:right w:val="single" w:sz="8" w:color="0070C0"/>
            </w:tcBorders>
            <w:vMerge w:val="continue"/>
          </w:tcPr>
          <w:p>
            <w:pPr>
              <w:spacing w:after="0"/>
              <w:rPr>
                <w:sz w:val="9"/>
                <w:szCs w:val="9"/>
                <w:color w:val="auto"/>
              </w:rPr>
            </w:pPr>
          </w:p>
        </w:tc>
        <w:tc>
          <w:tcPr>
            <w:tcW w:w="1040" w:type="dxa"/>
            <w:vAlign w:val="bottom"/>
            <w:tcBorders>
              <w:right w:val="single" w:sz="8" w:color="0070C0"/>
            </w:tcBorders>
            <w:vMerge w:val="continue"/>
          </w:tcPr>
          <w:p>
            <w:pPr>
              <w:spacing w:after="0"/>
              <w:rPr>
                <w:sz w:val="9"/>
                <w:szCs w:val="9"/>
                <w:color w:val="auto"/>
              </w:rPr>
            </w:pPr>
          </w:p>
        </w:tc>
        <w:tc>
          <w:tcPr>
            <w:tcW w:w="186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Payout Range</w:t>
            </w:r>
          </w:p>
        </w:tc>
        <w:tc>
          <w:tcPr>
            <w:tcW w:w="2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12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4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175"/>
        </w:trPr>
        <w:tc>
          <w:tcPr>
            <w:tcW w:w="3280" w:type="dxa"/>
            <w:vAlign w:val="bottom"/>
            <w:tcBorders>
              <w:left w:val="single" w:sz="8" w:color="0070C0"/>
              <w:right w:val="single" w:sz="8" w:color="0070C0"/>
            </w:tcBorders>
          </w:tcPr>
          <w:p>
            <w:pPr>
              <w:spacing w:after="0"/>
              <w:rPr>
                <w:sz w:val="15"/>
                <w:szCs w:val="15"/>
                <w:color w:val="auto"/>
              </w:rPr>
            </w:pPr>
          </w:p>
        </w:tc>
        <w:tc>
          <w:tcPr>
            <w:tcW w:w="1040" w:type="dxa"/>
            <w:vAlign w:val="bottom"/>
            <w:tcBorders>
              <w:right w:val="single" w:sz="8" w:color="0070C0"/>
            </w:tcBorders>
          </w:tcPr>
          <w:p>
            <w:pPr>
              <w:spacing w:after="0"/>
              <w:rPr>
                <w:sz w:val="15"/>
                <w:szCs w:val="15"/>
                <w:color w:val="auto"/>
              </w:rPr>
            </w:pPr>
          </w:p>
        </w:tc>
        <w:tc>
          <w:tcPr>
            <w:tcW w:w="1860" w:type="dxa"/>
            <w:vAlign w:val="bottom"/>
            <w:tcBorders>
              <w:right w:val="single" w:sz="8" w:color="0070C0"/>
            </w:tcBorders>
            <w:vMerge w:val="continue"/>
          </w:tcPr>
          <w:p>
            <w:pPr>
              <w:spacing w:after="0"/>
              <w:rPr>
                <w:sz w:val="15"/>
                <w:szCs w:val="15"/>
                <w:color w:val="auto"/>
              </w:rPr>
            </w:pPr>
          </w:p>
        </w:tc>
        <w:tc>
          <w:tcPr>
            <w:tcW w:w="2520" w:type="dxa"/>
            <w:vAlign w:val="bottom"/>
            <w:tcBorders>
              <w:right w:val="single" w:sz="8" w:color="0070C0"/>
            </w:tcBorders>
            <w:vMerge w:val="continue"/>
          </w:tcPr>
          <w:p>
            <w:pPr>
              <w:spacing w:after="0"/>
              <w:rPr>
                <w:sz w:val="15"/>
                <w:szCs w:val="15"/>
                <w:color w:val="auto"/>
              </w:rPr>
            </w:pPr>
          </w:p>
        </w:tc>
        <w:tc>
          <w:tcPr>
            <w:tcW w:w="1220" w:type="dxa"/>
            <w:vAlign w:val="bottom"/>
            <w:tcBorders>
              <w:right w:val="single" w:sz="8" w:color="0070C0"/>
            </w:tcBorders>
            <w:vMerge w:val="continue"/>
          </w:tcPr>
          <w:p>
            <w:pPr>
              <w:spacing w:after="0"/>
              <w:rPr>
                <w:sz w:val="15"/>
                <w:szCs w:val="15"/>
                <w:color w:val="auto"/>
              </w:rPr>
            </w:pPr>
          </w:p>
        </w:tc>
        <w:tc>
          <w:tcPr>
            <w:tcW w:w="1340" w:type="dxa"/>
            <w:vAlign w:val="bottom"/>
            <w:tcBorders>
              <w:right w:val="single" w:sz="8" w:color="0070C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80" w:type="dxa"/>
            <w:vAlign w:val="bottom"/>
            <w:tcBorders>
              <w:left w:val="single" w:sz="8" w:color="0070C0"/>
              <w:bottom w:val="single" w:sz="8" w:color="0070C0"/>
              <w:right w:val="single" w:sz="8" w:color="0070C0"/>
            </w:tcBorders>
          </w:tcPr>
          <w:p>
            <w:pPr>
              <w:spacing w:after="0" w:line="20" w:lineRule="exact"/>
              <w:rPr>
                <w:sz w:val="1"/>
                <w:szCs w:val="1"/>
                <w:color w:val="auto"/>
              </w:rPr>
            </w:pPr>
          </w:p>
        </w:tc>
        <w:tc>
          <w:tcPr>
            <w:tcW w:w="1040" w:type="dxa"/>
            <w:vAlign w:val="bottom"/>
            <w:tcBorders>
              <w:bottom w:val="single" w:sz="8" w:color="0070C0"/>
              <w:right w:val="single" w:sz="8" w:color="0070C0"/>
            </w:tcBorders>
          </w:tcPr>
          <w:p>
            <w:pPr>
              <w:spacing w:after="0" w:line="20" w:lineRule="exact"/>
              <w:rPr>
                <w:sz w:val="1"/>
                <w:szCs w:val="1"/>
                <w:color w:val="auto"/>
              </w:rPr>
            </w:pPr>
          </w:p>
        </w:tc>
        <w:tc>
          <w:tcPr>
            <w:tcW w:w="186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20" w:type="dxa"/>
            <w:vAlign w:val="bottom"/>
            <w:tcBorders>
              <w:bottom w:val="single" w:sz="8" w:color="0070C0"/>
              <w:right w:val="single" w:sz="8" w:color="0070C0"/>
            </w:tcBorders>
          </w:tcPr>
          <w:p>
            <w:pPr>
              <w:spacing w:after="0" w:line="20" w:lineRule="exact"/>
              <w:rPr>
                <w:sz w:val="1"/>
                <w:szCs w:val="1"/>
                <w:color w:val="auto"/>
              </w:rPr>
            </w:pPr>
          </w:p>
        </w:tc>
        <w:tc>
          <w:tcPr>
            <w:tcW w:w="1340" w:type="dxa"/>
            <w:vAlign w:val="bottom"/>
            <w:tcBorders>
              <w:bottom w:val="single" w:sz="8" w:color="0070C0"/>
              <w:right w:val="single" w:sz="8" w:color="0070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328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Total Hasbro Operating Profit Dollars</w:t>
            </w:r>
          </w:p>
        </w:tc>
        <w:tc>
          <w:tcPr>
            <w:tcW w:w="104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186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9"/>
              </w:rPr>
              <w:t>% Achievement</w:t>
            </w:r>
          </w:p>
        </w:tc>
        <w:tc>
          <w:tcPr>
            <w:tcW w:w="2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90%</w:t>
            </w:r>
          </w:p>
        </w:tc>
        <w:tc>
          <w:tcPr>
            <w:tcW w:w="12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4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4"/>
              </w:rPr>
              <w:t>115%</w:t>
            </w:r>
          </w:p>
        </w:tc>
        <w:tc>
          <w:tcPr>
            <w:tcW w:w="0" w:type="dxa"/>
            <w:vAlign w:val="bottom"/>
          </w:tcPr>
          <w:p>
            <w:pPr>
              <w:spacing w:after="0"/>
              <w:rPr>
                <w:sz w:val="1"/>
                <w:szCs w:val="1"/>
                <w:color w:val="auto"/>
              </w:rPr>
            </w:pPr>
          </w:p>
        </w:tc>
      </w:tr>
      <w:tr>
        <w:trPr>
          <w:trHeight w:val="21"/>
        </w:trPr>
        <w:tc>
          <w:tcPr>
            <w:tcW w:w="3280" w:type="dxa"/>
            <w:vAlign w:val="bottom"/>
            <w:tcBorders>
              <w:left w:val="single" w:sz="8" w:color="0070C0"/>
              <w:right w:val="single" w:sz="8" w:color="0070C0"/>
            </w:tcBorders>
            <w:vMerge w:val="continue"/>
          </w:tcPr>
          <w:p>
            <w:pPr>
              <w:spacing w:after="0" w:line="20" w:lineRule="exact"/>
              <w:rPr>
                <w:sz w:val="1"/>
                <w:szCs w:val="1"/>
                <w:color w:val="auto"/>
              </w:rPr>
            </w:pPr>
          </w:p>
        </w:tc>
        <w:tc>
          <w:tcPr>
            <w:tcW w:w="1040" w:type="dxa"/>
            <w:vAlign w:val="bottom"/>
            <w:tcBorders>
              <w:right w:val="single" w:sz="8" w:color="0070C0"/>
            </w:tcBorders>
            <w:vMerge w:val="continue"/>
          </w:tcPr>
          <w:p>
            <w:pPr>
              <w:spacing w:after="0" w:line="20" w:lineRule="exact"/>
              <w:rPr>
                <w:sz w:val="1"/>
                <w:szCs w:val="1"/>
                <w:color w:val="auto"/>
              </w:rPr>
            </w:pPr>
          </w:p>
        </w:tc>
        <w:tc>
          <w:tcPr>
            <w:tcW w:w="186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20" w:type="dxa"/>
            <w:vAlign w:val="bottom"/>
            <w:tcBorders>
              <w:bottom w:val="single" w:sz="8" w:color="0070C0"/>
              <w:right w:val="single" w:sz="8" w:color="0070C0"/>
            </w:tcBorders>
          </w:tcPr>
          <w:p>
            <w:pPr>
              <w:spacing w:after="0" w:line="20" w:lineRule="exact"/>
              <w:rPr>
                <w:sz w:val="1"/>
                <w:szCs w:val="1"/>
                <w:color w:val="auto"/>
              </w:rPr>
            </w:pPr>
          </w:p>
        </w:tc>
        <w:tc>
          <w:tcPr>
            <w:tcW w:w="1340" w:type="dxa"/>
            <w:vAlign w:val="bottom"/>
            <w:tcBorders>
              <w:bottom w:val="single" w:sz="8" w:color="0070C0"/>
              <w:right w:val="single" w:sz="8" w:color="0070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3280" w:type="dxa"/>
            <w:vAlign w:val="bottom"/>
            <w:tcBorders>
              <w:left w:val="single" w:sz="8" w:color="0070C0"/>
              <w:right w:val="single" w:sz="8" w:color="0070C0"/>
            </w:tcBorders>
            <w:vMerge w:val="continue"/>
          </w:tcPr>
          <w:p>
            <w:pPr>
              <w:spacing w:after="0"/>
              <w:rPr>
                <w:sz w:val="9"/>
                <w:szCs w:val="9"/>
                <w:color w:val="auto"/>
              </w:rPr>
            </w:pPr>
          </w:p>
        </w:tc>
        <w:tc>
          <w:tcPr>
            <w:tcW w:w="1040" w:type="dxa"/>
            <w:vAlign w:val="bottom"/>
            <w:tcBorders>
              <w:right w:val="single" w:sz="8" w:color="0070C0"/>
            </w:tcBorders>
            <w:vMerge w:val="continue"/>
          </w:tcPr>
          <w:p>
            <w:pPr>
              <w:spacing w:after="0"/>
              <w:rPr>
                <w:sz w:val="9"/>
                <w:szCs w:val="9"/>
                <w:color w:val="auto"/>
              </w:rPr>
            </w:pPr>
          </w:p>
        </w:tc>
        <w:tc>
          <w:tcPr>
            <w:tcW w:w="186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Payout Range</w:t>
            </w:r>
          </w:p>
        </w:tc>
        <w:tc>
          <w:tcPr>
            <w:tcW w:w="2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12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4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176"/>
        </w:trPr>
        <w:tc>
          <w:tcPr>
            <w:tcW w:w="3280" w:type="dxa"/>
            <w:vAlign w:val="bottom"/>
            <w:tcBorders>
              <w:left w:val="single" w:sz="8" w:color="0070C0"/>
              <w:right w:val="single" w:sz="8" w:color="0070C0"/>
            </w:tcBorders>
          </w:tcPr>
          <w:p>
            <w:pPr>
              <w:spacing w:after="0"/>
              <w:rPr>
                <w:sz w:val="15"/>
                <w:szCs w:val="15"/>
                <w:color w:val="auto"/>
              </w:rPr>
            </w:pPr>
          </w:p>
        </w:tc>
        <w:tc>
          <w:tcPr>
            <w:tcW w:w="1040" w:type="dxa"/>
            <w:vAlign w:val="bottom"/>
            <w:tcBorders>
              <w:right w:val="single" w:sz="8" w:color="0070C0"/>
            </w:tcBorders>
          </w:tcPr>
          <w:p>
            <w:pPr>
              <w:spacing w:after="0"/>
              <w:rPr>
                <w:sz w:val="15"/>
                <w:szCs w:val="15"/>
                <w:color w:val="auto"/>
              </w:rPr>
            </w:pPr>
          </w:p>
        </w:tc>
        <w:tc>
          <w:tcPr>
            <w:tcW w:w="1860" w:type="dxa"/>
            <w:vAlign w:val="bottom"/>
            <w:tcBorders>
              <w:right w:val="single" w:sz="8" w:color="0070C0"/>
            </w:tcBorders>
            <w:vMerge w:val="continue"/>
          </w:tcPr>
          <w:p>
            <w:pPr>
              <w:spacing w:after="0"/>
              <w:rPr>
                <w:sz w:val="15"/>
                <w:szCs w:val="15"/>
                <w:color w:val="auto"/>
              </w:rPr>
            </w:pPr>
          </w:p>
        </w:tc>
        <w:tc>
          <w:tcPr>
            <w:tcW w:w="2520" w:type="dxa"/>
            <w:vAlign w:val="bottom"/>
            <w:tcBorders>
              <w:right w:val="single" w:sz="8" w:color="0070C0"/>
            </w:tcBorders>
            <w:vMerge w:val="continue"/>
          </w:tcPr>
          <w:p>
            <w:pPr>
              <w:spacing w:after="0"/>
              <w:rPr>
                <w:sz w:val="15"/>
                <w:szCs w:val="15"/>
                <w:color w:val="auto"/>
              </w:rPr>
            </w:pPr>
          </w:p>
        </w:tc>
        <w:tc>
          <w:tcPr>
            <w:tcW w:w="1220" w:type="dxa"/>
            <w:vAlign w:val="bottom"/>
            <w:tcBorders>
              <w:right w:val="single" w:sz="8" w:color="0070C0"/>
            </w:tcBorders>
            <w:vMerge w:val="continue"/>
          </w:tcPr>
          <w:p>
            <w:pPr>
              <w:spacing w:after="0"/>
              <w:rPr>
                <w:sz w:val="15"/>
                <w:szCs w:val="15"/>
                <w:color w:val="auto"/>
              </w:rPr>
            </w:pPr>
          </w:p>
        </w:tc>
        <w:tc>
          <w:tcPr>
            <w:tcW w:w="1340" w:type="dxa"/>
            <w:vAlign w:val="bottom"/>
            <w:tcBorders>
              <w:right w:val="single" w:sz="8" w:color="0070C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80" w:type="dxa"/>
            <w:vAlign w:val="bottom"/>
            <w:tcBorders>
              <w:left w:val="single" w:sz="8" w:color="0070C0"/>
              <w:bottom w:val="single" w:sz="8" w:color="0070C0"/>
              <w:right w:val="single" w:sz="8" w:color="0070C0"/>
            </w:tcBorders>
          </w:tcPr>
          <w:p>
            <w:pPr>
              <w:spacing w:after="0" w:line="20" w:lineRule="exact"/>
              <w:rPr>
                <w:sz w:val="1"/>
                <w:szCs w:val="1"/>
                <w:color w:val="auto"/>
              </w:rPr>
            </w:pPr>
          </w:p>
        </w:tc>
        <w:tc>
          <w:tcPr>
            <w:tcW w:w="1040" w:type="dxa"/>
            <w:vAlign w:val="bottom"/>
            <w:tcBorders>
              <w:bottom w:val="single" w:sz="8" w:color="0070C0"/>
              <w:right w:val="single" w:sz="8" w:color="0070C0"/>
            </w:tcBorders>
          </w:tcPr>
          <w:p>
            <w:pPr>
              <w:spacing w:after="0" w:line="20" w:lineRule="exact"/>
              <w:rPr>
                <w:sz w:val="1"/>
                <w:szCs w:val="1"/>
                <w:color w:val="auto"/>
              </w:rPr>
            </w:pPr>
          </w:p>
        </w:tc>
        <w:tc>
          <w:tcPr>
            <w:tcW w:w="186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20" w:type="dxa"/>
            <w:vAlign w:val="bottom"/>
            <w:tcBorders>
              <w:bottom w:val="single" w:sz="8" w:color="0070C0"/>
              <w:right w:val="single" w:sz="8" w:color="0070C0"/>
            </w:tcBorders>
          </w:tcPr>
          <w:p>
            <w:pPr>
              <w:spacing w:after="0" w:line="20" w:lineRule="exact"/>
              <w:rPr>
                <w:sz w:val="1"/>
                <w:szCs w:val="1"/>
                <w:color w:val="auto"/>
              </w:rPr>
            </w:pPr>
          </w:p>
        </w:tc>
        <w:tc>
          <w:tcPr>
            <w:tcW w:w="1340" w:type="dxa"/>
            <w:vAlign w:val="bottom"/>
            <w:tcBorders>
              <w:bottom w:val="single" w:sz="8" w:color="0070C0"/>
              <w:right w:val="single" w:sz="8" w:color="0070C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260" w:type="dxa"/>
            <w:vAlign w:val="bottom"/>
            <w:tcBorders>
              <w:left w:val="single" w:sz="8" w:color="0070C0"/>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rPr>
              <w:t>Metric</w:t>
            </w:r>
          </w:p>
        </w:tc>
        <w:tc>
          <w:tcPr>
            <w:tcW w:w="104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Weight</w:t>
            </w:r>
          </w:p>
        </w:tc>
        <w:tc>
          <w:tcPr>
            <w:tcW w:w="188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Category</w:t>
            </w:r>
          </w:p>
        </w:tc>
        <w:tc>
          <w:tcPr>
            <w:tcW w:w="3720" w:type="dxa"/>
            <w:vAlign w:val="bottom"/>
            <w:tcBorders>
              <w:right w:val="single" w:sz="8" w:color="0070C0"/>
            </w:tcBorders>
            <w:gridSpan w:val="2"/>
            <w:shd w:val="clear" w:color="auto" w:fill="0070C0"/>
          </w:tcPr>
          <w:p>
            <w:pPr>
              <w:ind w:left="1640"/>
              <w:spacing w:after="0"/>
              <w:rPr>
                <w:sz w:val="20"/>
                <w:szCs w:val="20"/>
                <w:color w:val="auto"/>
              </w:rPr>
            </w:pPr>
            <w:r>
              <w:rPr>
                <w:rFonts w:ascii="Times New Roman" w:cs="Times New Roman" w:eastAsia="Times New Roman" w:hAnsi="Times New Roman"/>
                <w:sz w:val="20"/>
                <w:szCs w:val="20"/>
                <w:b w:val="1"/>
                <w:bCs w:val="1"/>
                <w:color w:val="FFFFFF"/>
              </w:rPr>
              <w:t>Performance Ranges</w:t>
            </w:r>
          </w:p>
        </w:tc>
        <w:tc>
          <w:tcPr>
            <w:tcW w:w="1320" w:type="dxa"/>
            <w:vAlign w:val="bottom"/>
            <w:shd w:val="clear" w:color="auto" w:fill="0070C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60" w:type="dxa"/>
            <w:vAlign w:val="bottom"/>
            <w:tcBorders>
              <w:left w:val="single" w:sz="8" w:color="0070C0"/>
              <w:right w:val="single" w:sz="8" w:color="0070C0"/>
            </w:tcBorders>
            <w:vMerge w:val="continue"/>
            <w:shd w:val="clear" w:color="auto" w:fill="0070C0"/>
          </w:tcPr>
          <w:p>
            <w:pPr>
              <w:spacing w:after="0"/>
              <w:rPr>
                <w:sz w:val="14"/>
                <w:szCs w:val="14"/>
                <w:color w:val="auto"/>
              </w:rPr>
            </w:pPr>
          </w:p>
        </w:tc>
        <w:tc>
          <w:tcPr>
            <w:tcW w:w="1040" w:type="dxa"/>
            <w:vAlign w:val="bottom"/>
            <w:tcBorders>
              <w:right w:val="single" w:sz="8" w:color="0070C0"/>
            </w:tcBorders>
            <w:vMerge w:val="continue"/>
            <w:shd w:val="clear" w:color="auto" w:fill="0070C0"/>
          </w:tcPr>
          <w:p>
            <w:pPr>
              <w:spacing w:after="0"/>
              <w:rPr>
                <w:sz w:val="14"/>
                <w:szCs w:val="14"/>
                <w:color w:val="auto"/>
              </w:rPr>
            </w:pPr>
          </w:p>
        </w:tc>
        <w:tc>
          <w:tcPr>
            <w:tcW w:w="1880" w:type="dxa"/>
            <w:vAlign w:val="bottom"/>
            <w:tcBorders>
              <w:right w:val="single" w:sz="8" w:color="0070C0"/>
            </w:tcBorders>
            <w:vMerge w:val="continue"/>
            <w:shd w:val="clear" w:color="auto" w:fill="0070C0"/>
          </w:tcPr>
          <w:p>
            <w:pPr>
              <w:spacing w:after="0"/>
              <w:rPr>
                <w:sz w:val="14"/>
                <w:szCs w:val="14"/>
                <w:color w:val="auto"/>
              </w:rPr>
            </w:pPr>
          </w:p>
        </w:tc>
        <w:tc>
          <w:tcPr>
            <w:tcW w:w="252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Minimum/Threshold</w:t>
            </w:r>
          </w:p>
        </w:tc>
        <w:tc>
          <w:tcPr>
            <w:tcW w:w="120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3"/>
              </w:rPr>
              <w:t>Target</w:t>
            </w:r>
          </w:p>
        </w:tc>
        <w:tc>
          <w:tcPr>
            <w:tcW w:w="1320" w:type="dxa"/>
            <w:vAlign w:val="bottom"/>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Maximum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260" w:type="dxa"/>
            <w:vAlign w:val="bottom"/>
            <w:tcBorders>
              <w:left w:val="single" w:sz="8" w:color="0070C0"/>
              <w:bottom w:val="single" w:sz="8" w:color="0070C0"/>
              <w:right w:val="single" w:sz="8" w:color="0070C0"/>
            </w:tcBorders>
            <w:shd w:val="clear" w:color="auto" w:fill="0070C0"/>
          </w:tcPr>
          <w:p>
            <w:pPr>
              <w:spacing w:after="0"/>
              <w:rPr>
                <w:sz w:val="17"/>
                <w:szCs w:val="17"/>
                <w:color w:val="auto"/>
              </w:rPr>
            </w:pPr>
          </w:p>
        </w:tc>
        <w:tc>
          <w:tcPr>
            <w:tcW w:w="1040" w:type="dxa"/>
            <w:vAlign w:val="bottom"/>
            <w:tcBorders>
              <w:bottom w:val="single" w:sz="8" w:color="0070C0"/>
              <w:right w:val="single" w:sz="8" w:color="0070C0"/>
            </w:tcBorders>
            <w:shd w:val="clear" w:color="auto" w:fill="0070C0"/>
          </w:tcPr>
          <w:p>
            <w:pPr>
              <w:spacing w:after="0"/>
              <w:rPr>
                <w:sz w:val="17"/>
                <w:szCs w:val="17"/>
                <w:color w:val="auto"/>
              </w:rPr>
            </w:pPr>
          </w:p>
        </w:tc>
        <w:tc>
          <w:tcPr>
            <w:tcW w:w="1880" w:type="dxa"/>
            <w:vAlign w:val="bottom"/>
            <w:tcBorders>
              <w:bottom w:val="single" w:sz="8" w:color="0070C0"/>
              <w:right w:val="single" w:sz="8" w:color="0070C0"/>
            </w:tcBorders>
            <w:shd w:val="clear" w:color="auto" w:fill="0070C0"/>
          </w:tcPr>
          <w:p>
            <w:pPr>
              <w:spacing w:after="0"/>
              <w:rPr>
                <w:sz w:val="17"/>
                <w:szCs w:val="17"/>
                <w:color w:val="auto"/>
              </w:rPr>
            </w:pPr>
          </w:p>
        </w:tc>
        <w:tc>
          <w:tcPr>
            <w:tcW w:w="2520" w:type="dxa"/>
            <w:vAlign w:val="bottom"/>
            <w:tcBorders>
              <w:bottom w:val="single" w:sz="8" w:color="0070C0"/>
              <w:right w:val="single" w:sz="8" w:color="0070C0"/>
            </w:tcBorders>
            <w:vMerge w:val="continue"/>
            <w:shd w:val="clear" w:color="auto" w:fill="0070C0"/>
          </w:tcPr>
          <w:p>
            <w:pPr>
              <w:spacing w:after="0"/>
              <w:rPr>
                <w:sz w:val="17"/>
                <w:szCs w:val="17"/>
                <w:color w:val="auto"/>
              </w:rPr>
            </w:pPr>
          </w:p>
        </w:tc>
        <w:tc>
          <w:tcPr>
            <w:tcW w:w="1200" w:type="dxa"/>
            <w:vAlign w:val="bottom"/>
            <w:tcBorders>
              <w:bottom w:val="single" w:sz="8" w:color="0070C0"/>
              <w:right w:val="single" w:sz="8" w:color="0070C0"/>
            </w:tcBorders>
            <w:vMerge w:val="continue"/>
            <w:shd w:val="clear" w:color="auto" w:fill="0070C0"/>
          </w:tcPr>
          <w:p>
            <w:pPr>
              <w:spacing w:after="0"/>
              <w:rPr>
                <w:sz w:val="17"/>
                <w:szCs w:val="17"/>
                <w:color w:val="auto"/>
              </w:rPr>
            </w:pPr>
          </w:p>
        </w:tc>
        <w:tc>
          <w:tcPr>
            <w:tcW w:w="1320" w:type="dxa"/>
            <w:vAlign w:val="bottom"/>
            <w:tcBorders>
              <w:bottom w:val="single" w:sz="8" w:color="0070C0"/>
            </w:tcBorders>
            <w:vMerge w:val="continue"/>
            <w:shd w:val="clear" w:color="auto" w:fill="0070C0"/>
          </w:tcPr>
          <w:p>
            <w:pPr>
              <w:spacing w:after="0"/>
              <w:rPr>
                <w:sz w:val="17"/>
                <w:szCs w:val="17"/>
                <w:color w:val="auto"/>
              </w:rPr>
            </w:pPr>
          </w:p>
        </w:tc>
        <w:tc>
          <w:tcPr>
            <w:tcW w:w="20" w:type="dxa"/>
            <w:vAlign w:val="bottom"/>
            <w:tcBorders>
              <w:bottom w:val="single" w:sz="8" w:color="0070C0"/>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26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TGLE Net Revenue</w:t>
            </w:r>
          </w:p>
        </w:tc>
        <w:tc>
          <w:tcPr>
            <w:tcW w:w="104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188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 Achievement</w:t>
            </w:r>
          </w:p>
        </w:tc>
        <w:tc>
          <w:tcPr>
            <w:tcW w:w="2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90%</w:t>
            </w:r>
          </w:p>
        </w:tc>
        <w:tc>
          <w:tcPr>
            <w:tcW w:w="12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110%</w:t>
            </w:r>
          </w:p>
        </w:tc>
        <w:tc>
          <w:tcPr>
            <w:tcW w:w="20" w:type="dxa"/>
            <w:vAlign w:val="bottom"/>
            <w:shd w:val="clear" w:color="auto" w:fill="0070C0"/>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60" w:type="dxa"/>
            <w:vAlign w:val="bottom"/>
            <w:tcBorders>
              <w:left w:val="single" w:sz="8" w:color="0070C0"/>
              <w:right w:val="single" w:sz="8" w:color="0070C0"/>
            </w:tcBorders>
            <w:vMerge w:val="continue"/>
          </w:tcPr>
          <w:p>
            <w:pPr>
              <w:spacing w:after="0" w:line="20" w:lineRule="exact"/>
              <w:rPr>
                <w:sz w:val="1"/>
                <w:szCs w:val="1"/>
                <w:color w:val="auto"/>
              </w:rPr>
            </w:pPr>
          </w:p>
        </w:tc>
        <w:tc>
          <w:tcPr>
            <w:tcW w:w="1040" w:type="dxa"/>
            <w:vAlign w:val="bottom"/>
            <w:tcBorders>
              <w:right w:val="single" w:sz="8" w:color="0070C0"/>
            </w:tcBorders>
            <w:vMerge w:val="continue"/>
          </w:tcPr>
          <w:p>
            <w:pPr>
              <w:spacing w:after="0" w:line="20" w:lineRule="exact"/>
              <w:rPr>
                <w:sz w:val="1"/>
                <w:szCs w:val="1"/>
                <w:color w:val="auto"/>
              </w:rPr>
            </w:pPr>
          </w:p>
        </w:tc>
        <w:tc>
          <w:tcPr>
            <w:tcW w:w="188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00" w:type="dxa"/>
            <w:vAlign w:val="bottom"/>
            <w:tcBorders>
              <w:bottom w:val="single" w:sz="8" w:color="0070C0"/>
              <w:right w:val="single" w:sz="8" w:color="0070C0"/>
            </w:tcBorders>
          </w:tcPr>
          <w:p>
            <w:pPr>
              <w:spacing w:after="0" w:line="20" w:lineRule="exact"/>
              <w:rPr>
                <w:sz w:val="1"/>
                <w:szCs w:val="1"/>
                <w:color w:val="auto"/>
              </w:rPr>
            </w:pPr>
          </w:p>
        </w:tc>
        <w:tc>
          <w:tcPr>
            <w:tcW w:w="1320" w:type="dxa"/>
            <w:vAlign w:val="bottom"/>
            <w:tcBorders>
              <w:bottom w:val="single" w:sz="8" w:color="0070C0"/>
            </w:tcBorders>
          </w:tcPr>
          <w:p>
            <w:pPr>
              <w:spacing w:after="0" w:line="20" w:lineRule="exact"/>
              <w:rPr>
                <w:sz w:val="1"/>
                <w:szCs w:val="1"/>
                <w:color w:val="auto"/>
              </w:rPr>
            </w:pPr>
          </w:p>
        </w:tc>
        <w:tc>
          <w:tcPr>
            <w:tcW w:w="20" w:type="dxa"/>
            <w:vAlign w:val="bottom"/>
            <w:tcBorders>
              <w:bottom w:val="single" w:sz="8" w:color="0070C0"/>
            </w:tcBorders>
            <w:shd w:val="clear" w:color="auto" w:fill="0070C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3260" w:type="dxa"/>
            <w:vAlign w:val="bottom"/>
            <w:tcBorders>
              <w:left w:val="single" w:sz="8" w:color="0070C0"/>
              <w:right w:val="single" w:sz="8" w:color="0070C0"/>
            </w:tcBorders>
            <w:vMerge w:val="continue"/>
          </w:tcPr>
          <w:p>
            <w:pPr>
              <w:spacing w:after="0"/>
              <w:rPr>
                <w:sz w:val="9"/>
                <w:szCs w:val="9"/>
                <w:color w:val="auto"/>
              </w:rPr>
            </w:pPr>
          </w:p>
        </w:tc>
        <w:tc>
          <w:tcPr>
            <w:tcW w:w="1040" w:type="dxa"/>
            <w:vAlign w:val="bottom"/>
            <w:tcBorders>
              <w:right w:val="single" w:sz="8" w:color="0070C0"/>
            </w:tcBorders>
            <w:vMerge w:val="continue"/>
          </w:tcPr>
          <w:p>
            <w:pPr>
              <w:spacing w:after="0"/>
              <w:rPr>
                <w:sz w:val="9"/>
                <w:szCs w:val="9"/>
                <w:color w:val="auto"/>
              </w:rPr>
            </w:pPr>
          </w:p>
        </w:tc>
        <w:tc>
          <w:tcPr>
            <w:tcW w:w="188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Payout Range</w:t>
            </w:r>
          </w:p>
        </w:tc>
        <w:tc>
          <w:tcPr>
            <w:tcW w:w="2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120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20" w:type="dxa"/>
            <w:vAlign w:val="bottom"/>
            <w:shd w:val="clear" w:color="auto" w:fill="0070C0"/>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260" w:type="dxa"/>
            <w:vAlign w:val="bottom"/>
            <w:tcBorders>
              <w:left w:val="single" w:sz="8" w:color="0070C0"/>
              <w:right w:val="single" w:sz="8" w:color="0070C0"/>
            </w:tcBorders>
          </w:tcPr>
          <w:p>
            <w:pPr>
              <w:spacing w:after="0"/>
              <w:rPr>
                <w:sz w:val="15"/>
                <w:szCs w:val="15"/>
                <w:color w:val="auto"/>
              </w:rPr>
            </w:pPr>
          </w:p>
        </w:tc>
        <w:tc>
          <w:tcPr>
            <w:tcW w:w="1040" w:type="dxa"/>
            <w:vAlign w:val="bottom"/>
            <w:tcBorders>
              <w:right w:val="single" w:sz="8" w:color="0070C0"/>
            </w:tcBorders>
          </w:tcPr>
          <w:p>
            <w:pPr>
              <w:spacing w:after="0"/>
              <w:rPr>
                <w:sz w:val="15"/>
                <w:szCs w:val="15"/>
                <w:color w:val="auto"/>
              </w:rPr>
            </w:pPr>
          </w:p>
        </w:tc>
        <w:tc>
          <w:tcPr>
            <w:tcW w:w="1880" w:type="dxa"/>
            <w:vAlign w:val="bottom"/>
            <w:tcBorders>
              <w:right w:val="single" w:sz="8" w:color="0070C0"/>
            </w:tcBorders>
            <w:vMerge w:val="continue"/>
          </w:tcPr>
          <w:p>
            <w:pPr>
              <w:spacing w:after="0"/>
              <w:rPr>
                <w:sz w:val="15"/>
                <w:szCs w:val="15"/>
                <w:color w:val="auto"/>
              </w:rPr>
            </w:pPr>
          </w:p>
        </w:tc>
        <w:tc>
          <w:tcPr>
            <w:tcW w:w="2520" w:type="dxa"/>
            <w:vAlign w:val="bottom"/>
            <w:tcBorders>
              <w:right w:val="single" w:sz="8" w:color="0070C0"/>
            </w:tcBorders>
            <w:vMerge w:val="continue"/>
          </w:tcPr>
          <w:p>
            <w:pPr>
              <w:spacing w:after="0"/>
              <w:rPr>
                <w:sz w:val="15"/>
                <w:szCs w:val="15"/>
                <w:color w:val="auto"/>
              </w:rPr>
            </w:pPr>
          </w:p>
        </w:tc>
        <w:tc>
          <w:tcPr>
            <w:tcW w:w="1200" w:type="dxa"/>
            <w:vAlign w:val="bottom"/>
            <w:tcBorders>
              <w:right w:val="single" w:sz="8" w:color="0070C0"/>
            </w:tcBorders>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shd w:val="clear" w:color="auto" w:fill="0070C0"/>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60" w:type="dxa"/>
            <w:vAlign w:val="bottom"/>
            <w:tcBorders>
              <w:left w:val="single" w:sz="8" w:color="0070C0"/>
              <w:bottom w:val="single" w:sz="8" w:color="0070C0"/>
              <w:right w:val="single" w:sz="8" w:color="0070C0"/>
            </w:tcBorders>
          </w:tcPr>
          <w:p>
            <w:pPr>
              <w:spacing w:after="0" w:line="20" w:lineRule="exact"/>
              <w:rPr>
                <w:sz w:val="1"/>
                <w:szCs w:val="1"/>
                <w:color w:val="auto"/>
              </w:rPr>
            </w:pPr>
          </w:p>
        </w:tc>
        <w:tc>
          <w:tcPr>
            <w:tcW w:w="1040" w:type="dxa"/>
            <w:vAlign w:val="bottom"/>
            <w:tcBorders>
              <w:bottom w:val="single" w:sz="8" w:color="0070C0"/>
              <w:right w:val="single" w:sz="8" w:color="0070C0"/>
            </w:tcBorders>
          </w:tcPr>
          <w:p>
            <w:pPr>
              <w:spacing w:after="0" w:line="20" w:lineRule="exact"/>
              <w:rPr>
                <w:sz w:val="1"/>
                <w:szCs w:val="1"/>
                <w:color w:val="auto"/>
              </w:rPr>
            </w:pPr>
          </w:p>
        </w:tc>
        <w:tc>
          <w:tcPr>
            <w:tcW w:w="188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00" w:type="dxa"/>
            <w:vAlign w:val="bottom"/>
            <w:tcBorders>
              <w:bottom w:val="single" w:sz="8" w:color="0070C0"/>
              <w:right w:val="single" w:sz="8" w:color="0070C0"/>
            </w:tcBorders>
          </w:tcPr>
          <w:p>
            <w:pPr>
              <w:spacing w:after="0" w:line="20" w:lineRule="exact"/>
              <w:rPr>
                <w:sz w:val="1"/>
                <w:szCs w:val="1"/>
                <w:color w:val="auto"/>
              </w:rPr>
            </w:pPr>
          </w:p>
        </w:tc>
        <w:tc>
          <w:tcPr>
            <w:tcW w:w="1320" w:type="dxa"/>
            <w:vAlign w:val="bottom"/>
            <w:tcBorders>
              <w:bottom w:val="single" w:sz="8" w:color="0070C0"/>
            </w:tcBorders>
          </w:tcPr>
          <w:p>
            <w:pPr>
              <w:spacing w:after="0" w:line="20" w:lineRule="exact"/>
              <w:rPr>
                <w:sz w:val="1"/>
                <w:szCs w:val="1"/>
                <w:color w:val="auto"/>
              </w:rPr>
            </w:pPr>
          </w:p>
        </w:tc>
        <w:tc>
          <w:tcPr>
            <w:tcW w:w="20" w:type="dxa"/>
            <w:vAlign w:val="bottom"/>
            <w:tcBorders>
              <w:bottom w:val="single" w:sz="8" w:color="0070C0"/>
            </w:tcBorders>
            <w:shd w:val="clear" w:color="auto" w:fill="0070C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326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TGLE Operating Profit Dollars</w:t>
            </w:r>
          </w:p>
        </w:tc>
        <w:tc>
          <w:tcPr>
            <w:tcW w:w="104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188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 Achievement</w:t>
            </w:r>
          </w:p>
        </w:tc>
        <w:tc>
          <w:tcPr>
            <w:tcW w:w="2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80%</w:t>
            </w:r>
          </w:p>
        </w:tc>
        <w:tc>
          <w:tcPr>
            <w:tcW w:w="12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135%</w:t>
            </w:r>
          </w:p>
        </w:tc>
        <w:tc>
          <w:tcPr>
            <w:tcW w:w="20" w:type="dxa"/>
            <w:vAlign w:val="bottom"/>
            <w:shd w:val="clear" w:color="auto" w:fill="0070C0"/>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60" w:type="dxa"/>
            <w:vAlign w:val="bottom"/>
            <w:tcBorders>
              <w:left w:val="single" w:sz="8" w:color="0070C0"/>
              <w:right w:val="single" w:sz="8" w:color="0070C0"/>
            </w:tcBorders>
            <w:vMerge w:val="continue"/>
          </w:tcPr>
          <w:p>
            <w:pPr>
              <w:spacing w:after="0" w:line="20" w:lineRule="exact"/>
              <w:rPr>
                <w:sz w:val="1"/>
                <w:szCs w:val="1"/>
                <w:color w:val="auto"/>
              </w:rPr>
            </w:pPr>
          </w:p>
        </w:tc>
        <w:tc>
          <w:tcPr>
            <w:tcW w:w="1040" w:type="dxa"/>
            <w:vAlign w:val="bottom"/>
            <w:tcBorders>
              <w:right w:val="single" w:sz="8" w:color="0070C0"/>
            </w:tcBorders>
            <w:vMerge w:val="continue"/>
          </w:tcPr>
          <w:p>
            <w:pPr>
              <w:spacing w:after="0" w:line="20" w:lineRule="exact"/>
              <w:rPr>
                <w:sz w:val="1"/>
                <w:szCs w:val="1"/>
                <w:color w:val="auto"/>
              </w:rPr>
            </w:pPr>
          </w:p>
        </w:tc>
        <w:tc>
          <w:tcPr>
            <w:tcW w:w="188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00" w:type="dxa"/>
            <w:vAlign w:val="bottom"/>
            <w:tcBorders>
              <w:bottom w:val="single" w:sz="8" w:color="0070C0"/>
              <w:right w:val="single" w:sz="8" w:color="0070C0"/>
            </w:tcBorders>
          </w:tcPr>
          <w:p>
            <w:pPr>
              <w:spacing w:after="0" w:line="20" w:lineRule="exact"/>
              <w:rPr>
                <w:sz w:val="1"/>
                <w:szCs w:val="1"/>
                <w:color w:val="auto"/>
              </w:rPr>
            </w:pPr>
          </w:p>
        </w:tc>
        <w:tc>
          <w:tcPr>
            <w:tcW w:w="1320" w:type="dxa"/>
            <w:vAlign w:val="bottom"/>
            <w:tcBorders>
              <w:bottom w:val="single" w:sz="8" w:color="0070C0"/>
            </w:tcBorders>
          </w:tcPr>
          <w:p>
            <w:pPr>
              <w:spacing w:after="0" w:line="20" w:lineRule="exact"/>
              <w:rPr>
                <w:sz w:val="1"/>
                <w:szCs w:val="1"/>
                <w:color w:val="auto"/>
              </w:rPr>
            </w:pPr>
          </w:p>
        </w:tc>
        <w:tc>
          <w:tcPr>
            <w:tcW w:w="20" w:type="dxa"/>
            <w:vAlign w:val="bottom"/>
            <w:tcBorders>
              <w:bottom w:val="single" w:sz="8" w:color="0070C0"/>
            </w:tcBorders>
            <w:shd w:val="clear" w:color="auto" w:fill="0070C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3260" w:type="dxa"/>
            <w:vAlign w:val="bottom"/>
            <w:tcBorders>
              <w:left w:val="single" w:sz="8" w:color="0070C0"/>
              <w:right w:val="single" w:sz="8" w:color="0070C0"/>
            </w:tcBorders>
            <w:vMerge w:val="continue"/>
          </w:tcPr>
          <w:p>
            <w:pPr>
              <w:spacing w:after="0"/>
              <w:rPr>
                <w:sz w:val="9"/>
                <w:szCs w:val="9"/>
                <w:color w:val="auto"/>
              </w:rPr>
            </w:pPr>
          </w:p>
        </w:tc>
        <w:tc>
          <w:tcPr>
            <w:tcW w:w="1040" w:type="dxa"/>
            <w:vAlign w:val="bottom"/>
            <w:tcBorders>
              <w:right w:val="single" w:sz="8" w:color="0070C0"/>
            </w:tcBorders>
            <w:vMerge w:val="continue"/>
          </w:tcPr>
          <w:p>
            <w:pPr>
              <w:spacing w:after="0"/>
              <w:rPr>
                <w:sz w:val="9"/>
                <w:szCs w:val="9"/>
                <w:color w:val="auto"/>
              </w:rPr>
            </w:pPr>
          </w:p>
        </w:tc>
        <w:tc>
          <w:tcPr>
            <w:tcW w:w="188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Payout Range</w:t>
            </w:r>
          </w:p>
        </w:tc>
        <w:tc>
          <w:tcPr>
            <w:tcW w:w="2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120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20" w:type="dxa"/>
            <w:vAlign w:val="bottom"/>
            <w:shd w:val="clear" w:color="auto" w:fill="0070C0"/>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260" w:type="dxa"/>
            <w:vAlign w:val="bottom"/>
            <w:tcBorders>
              <w:left w:val="single" w:sz="8" w:color="0070C0"/>
              <w:right w:val="single" w:sz="8" w:color="0070C0"/>
            </w:tcBorders>
          </w:tcPr>
          <w:p>
            <w:pPr>
              <w:spacing w:after="0"/>
              <w:rPr>
                <w:sz w:val="15"/>
                <w:szCs w:val="15"/>
                <w:color w:val="auto"/>
              </w:rPr>
            </w:pPr>
          </w:p>
        </w:tc>
        <w:tc>
          <w:tcPr>
            <w:tcW w:w="1040" w:type="dxa"/>
            <w:vAlign w:val="bottom"/>
            <w:tcBorders>
              <w:right w:val="single" w:sz="8" w:color="0070C0"/>
            </w:tcBorders>
          </w:tcPr>
          <w:p>
            <w:pPr>
              <w:spacing w:after="0"/>
              <w:rPr>
                <w:sz w:val="15"/>
                <w:szCs w:val="15"/>
                <w:color w:val="auto"/>
              </w:rPr>
            </w:pPr>
          </w:p>
        </w:tc>
        <w:tc>
          <w:tcPr>
            <w:tcW w:w="1880" w:type="dxa"/>
            <w:vAlign w:val="bottom"/>
            <w:tcBorders>
              <w:right w:val="single" w:sz="8" w:color="0070C0"/>
            </w:tcBorders>
            <w:vMerge w:val="continue"/>
          </w:tcPr>
          <w:p>
            <w:pPr>
              <w:spacing w:after="0"/>
              <w:rPr>
                <w:sz w:val="15"/>
                <w:szCs w:val="15"/>
                <w:color w:val="auto"/>
              </w:rPr>
            </w:pPr>
          </w:p>
        </w:tc>
        <w:tc>
          <w:tcPr>
            <w:tcW w:w="2520" w:type="dxa"/>
            <w:vAlign w:val="bottom"/>
            <w:tcBorders>
              <w:right w:val="single" w:sz="8" w:color="0070C0"/>
            </w:tcBorders>
            <w:vMerge w:val="continue"/>
          </w:tcPr>
          <w:p>
            <w:pPr>
              <w:spacing w:after="0"/>
              <w:rPr>
                <w:sz w:val="15"/>
                <w:szCs w:val="15"/>
                <w:color w:val="auto"/>
              </w:rPr>
            </w:pPr>
          </w:p>
        </w:tc>
        <w:tc>
          <w:tcPr>
            <w:tcW w:w="1200" w:type="dxa"/>
            <w:vAlign w:val="bottom"/>
            <w:tcBorders>
              <w:right w:val="single" w:sz="8" w:color="0070C0"/>
            </w:tcBorders>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shd w:val="clear" w:color="auto" w:fill="0070C0"/>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60" w:type="dxa"/>
            <w:vAlign w:val="bottom"/>
            <w:tcBorders>
              <w:left w:val="single" w:sz="8" w:color="0070C0"/>
              <w:bottom w:val="single" w:sz="8" w:color="0070C0"/>
              <w:right w:val="single" w:sz="8" w:color="0070C0"/>
            </w:tcBorders>
          </w:tcPr>
          <w:p>
            <w:pPr>
              <w:spacing w:after="0" w:line="20" w:lineRule="exact"/>
              <w:rPr>
                <w:sz w:val="1"/>
                <w:szCs w:val="1"/>
                <w:color w:val="auto"/>
              </w:rPr>
            </w:pPr>
          </w:p>
        </w:tc>
        <w:tc>
          <w:tcPr>
            <w:tcW w:w="1040" w:type="dxa"/>
            <w:vAlign w:val="bottom"/>
            <w:tcBorders>
              <w:bottom w:val="single" w:sz="8" w:color="0070C0"/>
              <w:right w:val="single" w:sz="8" w:color="0070C0"/>
            </w:tcBorders>
          </w:tcPr>
          <w:p>
            <w:pPr>
              <w:spacing w:after="0" w:line="20" w:lineRule="exact"/>
              <w:rPr>
                <w:sz w:val="1"/>
                <w:szCs w:val="1"/>
                <w:color w:val="auto"/>
              </w:rPr>
            </w:pPr>
          </w:p>
        </w:tc>
        <w:tc>
          <w:tcPr>
            <w:tcW w:w="188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00" w:type="dxa"/>
            <w:vAlign w:val="bottom"/>
            <w:tcBorders>
              <w:bottom w:val="single" w:sz="8" w:color="0070C0"/>
              <w:right w:val="single" w:sz="8" w:color="0070C0"/>
            </w:tcBorders>
          </w:tcPr>
          <w:p>
            <w:pPr>
              <w:spacing w:after="0" w:line="20" w:lineRule="exact"/>
              <w:rPr>
                <w:sz w:val="1"/>
                <w:szCs w:val="1"/>
                <w:color w:val="auto"/>
              </w:rPr>
            </w:pPr>
          </w:p>
        </w:tc>
        <w:tc>
          <w:tcPr>
            <w:tcW w:w="1320" w:type="dxa"/>
            <w:vAlign w:val="bottom"/>
            <w:tcBorders>
              <w:bottom w:val="single" w:sz="8" w:color="0070C0"/>
            </w:tcBorders>
          </w:tcPr>
          <w:p>
            <w:pPr>
              <w:spacing w:after="0" w:line="20" w:lineRule="exact"/>
              <w:rPr>
                <w:sz w:val="1"/>
                <w:szCs w:val="1"/>
                <w:color w:val="auto"/>
              </w:rPr>
            </w:pPr>
          </w:p>
        </w:tc>
        <w:tc>
          <w:tcPr>
            <w:tcW w:w="20" w:type="dxa"/>
            <w:vAlign w:val="bottom"/>
            <w:tcBorders>
              <w:bottom w:val="single" w:sz="8" w:color="0070C0"/>
            </w:tcBorders>
            <w:shd w:val="clear" w:color="auto" w:fill="0070C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260" w:type="dxa"/>
            <w:vAlign w:val="bottom"/>
            <w:tcBorders>
              <w:bottom w:val="single" w:sz="8" w:color="0070C0"/>
            </w:tcBorders>
          </w:tcPr>
          <w:p>
            <w:pPr>
              <w:spacing w:after="0"/>
              <w:rPr>
                <w:sz w:val="8"/>
                <w:szCs w:val="8"/>
                <w:color w:val="auto"/>
              </w:rPr>
            </w:pPr>
          </w:p>
        </w:tc>
        <w:tc>
          <w:tcPr>
            <w:tcW w:w="1040" w:type="dxa"/>
            <w:vAlign w:val="bottom"/>
            <w:tcBorders>
              <w:bottom w:val="single" w:sz="8" w:color="0070C0"/>
            </w:tcBorders>
          </w:tcPr>
          <w:p>
            <w:pPr>
              <w:spacing w:after="0"/>
              <w:rPr>
                <w:sz w:val="8"/>
                <w:szCs w:val="8"/>
                <w:color w:val="auto"/>
              </w:rPr>
            </w:pPr>
          </w:p>
        </w:tc>
        <w:tc>
          <w:tcPr>
            <w:tcW w:w="1880" w:type="dxa"/>
            <w:vAlign w:val="bottom"/>
            <w:tcBorders>
              <w:bottom w:val="single" w:sz="8" w:color="0070C0"/>
            </w:tcBorders>
          </w:tcPr>
          <w:p>
            <w:pPr>
              <w:spacing w:after="0"/>
              <w:rPr>
                <w:sz w:val="8"/>
                <w:szCs w:val="8"/>
                <w:color w:val="auto"/>
              </w:rPr>
            </w:pPr>
          </w:p>
        </w:tc>
        <w:tc>
          <w:tcPr>
            <w:tcW w:w="2520" w:type="dxa"/>
            <w:vAlign w:val="bottom"/>
            <w:tcBorders>
              <w:bottom w:val="single" w:sz="8" w:color="0070C0"/>
            </w:tcBorders>
          </w:tcPr>
          <w:p>
            <w:pPr>
              <w:spacing w:after="0"/>
              <w:rPr>
                <w:sz w:val="8"/>
                <w:szCs w:val="8"/>
                <w:color w:val="auto"/>
              </w:rPr>
            </w:pPr>
          </w:p>
        </w:tc>
        <w:tc>
          <w:tcPr>
            <w:tcW w:w="1200" w:type="dxa"/>
            <w:vAlign w:val="bottom"/>
            <w:tcBorders>
              <w:bottom w:val="single" w:sz="8" w:color="0070C0"/>
            </w:tcBorders>
          </w:tcPr>
          <w:p>
            <w:pPr>
              <w:spacing w:after="0"/>
              <w:rPr>
                <w:sz w:val="8"/>
                <w:szCs w:val="8"/>
                <w:color w:val="auto"/>
              </w:rPr>
            </w:pPr>
          </w:p>
        </w:tc>
        <w:tc>
          <w:tcPr>
            <w:tcW w:w="1320" w:type="dxa"/>
            <w:vAlign w:val="bottom"/>
            <w:tcBorders>
              <w:bottom w:val="single" w:sz="8" w:color="0070C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2320"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2"/>
        </w:trPr>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FFFFFF"/>
              </w:rPr>
              <w:t>Metric</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Weight</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Category</w:t>
            </w:r>
          </w:p>
        </w:tc>
        <w:tc>
          <w:tcPr>
            <w:tcW w:w="3720" w:type="dxa"/>
            <w:vAlign w:val="bottom"/>
            <w:gridSpan w:val="2"/>
          </w:tcPr>
          <w:p>
            <w:pPr>
              <w:ind w:left="1640"/>
              <w:spacing w:after="0"/>
              <w:rPr>
                <w:sz w:val="20"/>
                <w:szCs w:val="20"/>
                <w:color w:val="auto"/>
              </w:rPr>
            </w:pPr>
            <w:r>
              <w:rPr>
                <w:rFonts w:ascii="Times New Roman" w:cs="Times New Roman" w:eastAsia="Times New Roman" w:hAnsi="Times New Roman"/>
                <w:sz w:val="20"/>
                <w:szCs w:val="20"/>
                <w:b w:val="1"/>
                <w:bCs w:val="1"/>
                <w:color w:val="FFFFFF"/>
              </w:rPr>
              <w:t>Performance Ranges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Minimum/Threshold</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FFFFFF"/>
                <w:w w:val="93"/>
              </w:rPr>
              <w:t>Target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Maximum</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3260" w:type="dxa"/>
            <w:vAlign w:val="bottom"/>
            <w:tcBorders>
              <w:bottom w:val="single" w:sz="8" w:color="0070C0"/>
            </w:tcBorders>
          </w:tcPr>
          <w:p>
            <w:pPr>
              <w:spacing w:after="0"/>
              <w:rPr>
                <w:sz w:val="3"/>
                <w:szCs w:val="3"/>
                <w:color w:val="auto"/>
              </w:rPr>
            </w:pPr>
          </w:p>
        </w:tc>
        <w:tc>
          <w:tcPr>
            <w:tcW w:w="1040" w:type="dxa"/>
            <w:vAlign w:val="bottom"/>
            <w:tcBorders>
              <w:bottom w:val="single" w:sz="8" w:color="0070C0"/>
            </w:tcBorders>
          </w:tcPr>
          <w:p>
            <w:pPr>
              <w:spacing w:after="0"/>
              <w:rPr>
                <w:sz w:val="3"/>
                <w:szCs w:val="3"/>
                <w:color w:val="auto"/>
              </w:rPr>
            </w:pPr>
          </w:p>
        </w:tc>
        <w:tc>
          <w:tcPr>
            <w:tcW w:w="1880" w:type="dxa"/>
            <w:vAlign w:val="bottom"/>
            <w:tcBorders>
              <w:bottom w:val="single" w:sz="8" w:color="0070C0"/>
            </w:tcBorders>
          </w:tcPr>
          <w:p>
            <w:pPr>
              <w:spacing w:after="0"/>
              <w:rPr>
                <w:sz w:val="3"/>
                <w:szCs w:val="3"/>
                <w:color w:val="auto"/>
              </w:rPr>
            </w:pPr>
          </w:p>
        </w:tc>
        <w:tc>
          <w:tcPr>
            <w:tcW w:w="2520" w:type="dxa"/>
            <w:vAlign w:val="bottom"/>
            <w:tcBorders>
              <w:bottom w:val="single" w:sz="8" w:color="0070C0"/>
            </w:tcBorders>
          </w:tcPr>
          <w:p>
            <w:pPr>
              <w:spacing w:after="0"/>
              <w:rPr>
                <w:sz w:val="3"/>
                <w:szCs w:val="3"/>
                <w:color w:val="auto"/>
              </w:rPr>
            </w:pPr>
          </w:p>
        </w:tc>
        <w:tc>
          <w:tcPr>
            <w:tcW w:w="1200" w:type="dxa"/>
            <w:vAlign w:val="bottom"/>
            <w:tcBorders>
              <w:bottom w:val="single" w:sz="8" w:color="0070C0"/>
            </w:tcBorders>
          </w:tcPr>
          <w:p>
            <w:pPr>
              <w:spacing w:after="0"/>
              <w:rPr>
                <w:sz w:val="3"/>
                <w:szCs w:val="3"/>
                <w:color w:val="auto"/>
              </w:rPr>
            </w:pPr>
          </w:p>
        </w:tc>
        <w:tc>
          <w:tcPr>
            <w:tcW w:w="1340" w:type="dxa"/>
            <w:vAlign w:val="bottom"/>
            <w:tcBorders>
              <w:bottom w:val="single" w:sz="8" w:color="0070C0"/>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26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WOTC Net Revenue</w:t>
            </w:r>
          </w:p>
        </w:tc>
        <w:tc>
          <w:tcPr>
            <w:tcW w:w="104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188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 Achievement</w:t>
            </w:r>
          </w:p>
        </w:tc>
        <w:tc>
          <w:tcPr>
            <w:tcW w:w="2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90%</w:t>
            </w:r>
          </w:p>
        </w:tc>
        <w:tc>
          <w:tcPr>
            <w:tcW w:w="12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4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110%</w:t>
            </w:r>
          </w:p>
        </w:tc>
        <w:tc>
          <w:tcPr>
            <w:tcW w:w="0" w:type="dxa"/>
            <w:vAlign w:val="bottom"/>
          </w:tcPr>
          <w:p>
            <w:pPr>
              <w:spacing w:after="0"/>
              <w:rPr>
                <w:sz w:val="1"/>
                <w:szCs w:val="1"/>
                <w:color w:val="auto"/>
              </w:rPr>
            </w:pPr>
          </w:p>
        </w:tc>
      </w:tr>
      <w:tr>
        <w:trPr>
          <w:trHeight w:val="21"/>
        </w:trPr>
        <w:tc>
          <w:tcPr>
            <w:tcW w:w="3260" w:type="dxa"/>
            <w:vAlign w:val="bottom"/>
            <w:tcBorders>
              <w:left w:val="single" w:sz="8" w:color="0070C0"/>
              <w:right w:val="single" w:sz="8" w:color="0070C0"/>
            </w:tcBorders>
            <w:vMerge w:val="continue"/>
          </w:tcPr>
          <w:p>
            <w:pPr>
              <w:spacing w:after="0" w:line="20" w:lineRule="exact"/>
              <w:rPr>
                <w:sz w:val="1"/>
                <w:szCs w:val="1"/>
                <w:color w:val="auto"/>
              </w:rPr>
            </w:pPr>
          </w:p>
        </w:tc>
        <w:tc>
          <w:tcPr>
            <w:tcW w:w="1040" w:type="dxa"/>
            <w:vAlign w:val="bottom"/>
            <w:tcBorders>
              <w:right w:val="single" w:sz="8" w:color="0070C0"/>
            </w:tcBorders>
            <w:vMerge w:val="continue"/>
          </w:tcPr>
          <w:p>
            <w:pPr>
              <w:spacing w:after="0" w:line="20" w:lineRule="exact"/>
              <w:rPr>
                <w:sz w:val="1"/>
                <w:szCs w:val="1"/>
                <w:color w:val="auto"/>
              </w:rPr>
            </w:pPr>
          </w:p>
        </w:tc>
        <w:tc>
          <w:tcPr>
            <w:tcW w:w="188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00" w:type="dxa"/>
            <w:vAlign w:val="bottom"/>
            <w:tcBorders>
              <w:bottom w:val="single" w:sz="8" w:color="0070C0"/>
              <w:right w:val="single" w:sz="8" w:color="0070C0"/>
            </w:tcBorders>
          </w:tcPr>
          <w:p>
            <w:pPr>
              <w:spacing w:after="0" w:line="20" w:lineRule="exact"/>
              <w:rPr>
                <w:sz w:val="1"/>
                <w:szCs w:val="1"/>
                <w:color w:val="auto"/>
              </w:rPr>
            </w:pPr>
          </w:p>
        </w:tc>
        <w:tc>
          <w:tcPr>
            <w:tcW w:w="1340" w:type="dxa"/>
            <w:vAlign w:val="bottom"/>
            <w:tcBorders>
              <w:bottom w:val="single" w:sz="8" w:color="0070C0"/>
              <w:right w:val="single" w:sz="8" w:color="0070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3260" w:type="dxa"/>
            <w:vAlign w:val="bottom"/>
            <w:tcBorders>
              <w:left w:val="single" w:sz="8" w:color="0070C0"/>
              <w:right w:val="single" w:sz="8" w:color="0070C0"/>
            </w:tcBorders>
            <w:vMerge w:val="continue"/>
          </w:tcPr>
          <w:p>
            <w:pPr>
              <w:spacing w:after="0"/>
              <w:rPr>
                <w:sz w:val="9"/>
                <w:szCs w:val="9"/>
                <w:color w:val="auto"/>
              </w:rPr>
            </w:pPr>
          </w:p>
        </w:tc>
        <w:tc>
          <w:tcPr>
            <w:tcW w:w="1040" w:type="dxa"/>
            <w:vAlign w:val="bottom"/>
            <w:tcBorders>
              <w:right w:val="single" w:sz="8" w:color="0070C0"/>
            </w:tcBorders>
            <w:vMerge w:val="continue"/>
          </w:tcPr>
          <w:p>
            <w:pPr>
              <w:spacing w:after="0"/>
              <w:rPr>
                <w:sz w:val="9"/>
                <w:szCs w:val="9"/>
                <w:color w:val="auto"/>
              </w:rPr>
            </w:pPr>
          </w:p>
        </w:tc>
        <w:tc>
          <w:tcPr>
            <w:tcW w:w="188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Payout Range</w:t>
            </w:r>
          </w:p>
        </w:tc>
        <w:tc>
          <w:tcPr>
            <w:tcW w:w="2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120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4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176"/>
        </w:trPr>
        <w:tc>
          <w:tcPr>
            <w:tcW w:w="3260" w:type="dxa"/>
            <w:vAlign w:val="bottom"/>
            <w:tcBorders>
              <w:left w:val="single" w:sz="8" w:color="0070C0"/>
              <w:right w:val="single" w:sz="8" w:color="0070C0"/>
            </w:tcBorders>
          </w:tcPr>
          <w:p>
            <w:pPr>
              <w:spacing w:after="0"/>
              <w:rPr>
                <w:sz w:val="15"/>
                <w:szCs w:val="15"/>
                <w:color w:val="auto"/>
              </w:rPr>
            </w:pPr>
          </w:p>
        </w:tc>
        <w:tc>
          <w:tcPr>
            <w:tcW w:w="1040" w:type="dxa"/>
            <w:vAlign w:val="bottom"/>
            <w:tcBorders>
              <w:right w:val="single" w:sz="8" w:color="0070C0"/>
            </w:tcBorders>
          </w:tcPr>
          <w:p>
            <w:pPr>
              <w:spacing w:after="0"/>
              <w:rPr>
                <w:sz w:val="15"/>
                <w:szCs w:val="15"/>
                <w:color w:val="auto"/>
              </w:rPr>
            </w:pPr>
          </w:p>
        </w:tc>
        <w:tc>
          <w:tcPr>
            <w:tcW w:w="1880" w:type="dxa"/>
            <w:vAlign w:val="bottom"/>
            <w:tcBorders>
              <w:right w:val="single" w:sz="8" w:color="0070C0"/>
            </w:tcBorders>
            <w:vMerge w:val="continue"/>
          </w:tcPr>
          <w:p>
            <w:pPr>
              <w:spacing w:after="0"/>
              <w:rPr>
                <w:sz w:val="15"/>
                <w:szCs w:val="15"/>
                <w:color w:val="auto"/>
              </w:rPr>
            </w:pPr>
          </w:p>
        </w:tc>
        <w:tc>
          <w:tcPr>
            <w:tcW w:w="2520" w:type="dxa"/>
            <w:vAlign w:val="bottom"/>
            <w:tcBorders>
              <w:right w:val="single" w:sz="8" w:color="0070C0"/>
            </w:tcBorders>
            <w:vMerge w:val="continue"/>
          </w:tcPr>
          <w:p>
            <w:pPr>
              <w:spacing w:after="0"/>
              <w:rPr>
                <w:sz w:val="15"/>
                <w:szCs w:val="15"/>
                <w:color w:val="auto"/>
              </w:rPr>
            </w:pPr>
          </w:p>
        </w:tc>
        <w:tc>
          <w:tcPr>
            <w:tcW w:w="1200" w:type="dxa"/>
            <w:vAlign w:val="bottom"/>
            <w:tcBorders>
              <w:right w:val="single" w:sz="8" w:color="0070C0"/>
            </w:tcBorders>
            <w:vMerge w:val="continue"/>
          </w:tcPr>
          <w:p>
            <w:pPr>
              <w:spacing w:after="0"/>
              <w:rPr>
                <w:sz w:val="15"/>
                <w:szCs w:val="15"/>
                <w:color w:val="auto"/>
              </w:rPr>
            </w:pPr>
          </w:p>
        </w:tc>
        <w:tc>
          <w:tcPr>
            <w:tcW w:w="1340" w:type="dxa"/>
            <w:vAlign w:val="bottom"/>
            <w:tcBorders>
              <w:right w:val="single" w:sz="8" w:color="0070C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60" w:type="dxa"/>
            <w:vAlign w:val="bottom"/>
            <w:tcBorders>
              <w:left w:val="single" w:sz="8" w:color="0070C0"/>
              <w:bottom w:val="single" w:sz="8" w:color="0070C0"/>
              <w:right w:val="single" w:sz="8" w:color="0070C0"/>
            </w:tcBorders>
          </w:tcPr>
          <w:p>
            <w:pPr>
              <w:spacing w:after="0" w:line="20" w:lineRule="exact"/>
              <w:rPr>
                <w:sz w:val="1"/>
                <w:szCs w:val="1"/>
                <w:color w:val="auto"/>
              </w:rPr>
            </w:pPr>
          </w:p>
        </w:tc>
        <w:tc>
          <w:tcPr>
            <w:tcW w:w="1040" w:type="dxa"/>
            <w:vAlign w:val="bottom"/>
            <w:tcBorders>
              <w:bottom w:val="single" w:sz="8" w:color="0070C0"/>
              <w:right w:val="single" w:sz="8" w:color="0070C0"/>
            </w:tcBorders>
          </w:tcPr>
          <w:p>
            <w:pPr>
              <w:spacing w:after="0" w:line="20" w:lineRule="exact"/>
              <w:rPr>
                <w:sz w:val="1"/>
                <w:szCs w:val="1"/>
                <w:color w:val="auto"/>
              </w:rPr>
            </w:pPr>
          </w:p>
        </w:tc>
        <w:tc>
          <w:tcPr>
            <w:tcW w:w="188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00" w:type="dxa"/>
            <w:vAlign w:val="bottom"/>
            <w:tcBorders>
              <w:bottom w:val="single" w:sz="8" w:color="0070C0"/>
              <w:right w:val="single" w:sz="8" w:color="0070C0"/>
            </w:tcBorders>
          </w:tcPr>
          <w:p>
            <w:pPr>
              <w:spacing w:after="0" w:line="20" w:lineRule="exact"/>
              <w:rPr>
                <w:sz w:val="1"/>
                <w:szCs w:val="1"/>
                <w:color w:val="auto"/>
              </w:rPr>
            </w:pPr>
          </w:p>
        </w:tc>
        <w:tc>
          <w:tcPr>
            <w:tcW w:w="1340" w:type="dxa"/>
            <w:vAlign w:val="bottom"/>
            <w:tcBorders>
              <w:bottom w:val="single" w:sz="8" w:color="0070C0"/>
              <w:right w:val="single" w:sz="8" w:color="0070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326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WOTC Operating Profit Dollars</w:t>
            </w:r>
          </w:p>
        </w:tc>
        <w:tc>
          <w:tcPr>
            <w:tcW w:w="104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188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 Achievement</w:t>
            </w:r>
          </w:p>
        </w:tc>
        <w:tc>
          <w:tcPr>
            <w:tcW w:w="2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90%</w:t>
            </w:r>
          </w:p>
        </w:tc>
        <w:tc>
          <w:tcPr>
            <w:tcW w:w="12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4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115%</w:t>
            </w:r>
          </w:p>
        </w:tc>
        <w:tc>
          <w:tcPr>
            <w:tcW w:w="0" w:type="dxa"/>
            <w:vAlign w:val="bottom"/>
          </w:tcPr>
          <w:p>
            <w:pPr>
              <w:spacing w:after="0"/>
              <w:rPr>
                <w:sz w:val="1"/>
                <w:szCs w:val="1"/>
                <w:color w:val="auto"/>
              </w:rPr>
            </w:pPr>
          </w:p>
        </w:tc>
      </w:tr>
      <w:tr>
        <w:trPr>
          <w:trHeight w:val="21"/>
        </w:trPr>
        <w:tc>
          <w:tcPr>
            <w:tcW w:w="3260" w:type="dxa"/>
            <w:vAlign w:val="bottom"/>
            <w:tcBorders>
              <w:left w:val="single" w:sz="8" w:color="0070C0"/>
              <w:right w:val="single" w:sz="8" w:color="0070C0"/>
            </w:tcBorders>
            <w:vMerge w:val="continue"/>
          </w:tcPr>
          <w:p>
            <w:pPr>
              <w:spacing w:after="0" w:line="20" w:lineRule="exact"/>
              <w:rPr>
                <w:sz w:val="1"/>
                <w:szCs w:val="1"/>
                <w:color w:val="auto"/>
              </w:rPr>
            </w:pPr>
          </w:p>
        </w:tc>
        <w:tc>
          <w:tcPr>
            <w:tcW w:w="1040" w:type="dxa"/>
            <w:vAlign w:val="bottom"/>
            <w:tcBorders>
              <w:right w:val="single" w:sz="8" w:color="0070C0"/>
            </w:tcBorders>
            <w:vMerge w:val="continue"/>
          </w:tcPr>
          <w:p>
            <w:pPr>
              <w:spacing w:after="0" w:line="20" w:lineRule="exact"/>
              <w:rPr>
                <w:sz w:val="1"/>
                <w:szCs w:val="1"/>
                <w:color w:val="auto"/>
              </w:rPr>
            </w:pPr>
          </w:p>
        </w:tc>
        <w:tc>
          <w:tcPr>
            <w:tcW w:w="188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00" w:type="dxa"/>
            <w:vAlign w:val="bottom"/>
            <w:tcBorders>
              <w:bottom w:val="single" w:sz="8" w:color="0070C0"/>
              <w:right w:val="single" w:sz="8" w:color="0070C0"/>
            </w:tcBorders>
          </w:tcPr>
          <w:p>
            <w:pPr>
              <w:spacing w:after="0" w:line="20" w:lineRule="exact"/>
              <w:rPr>
                <w:sz w:val="1"/>
                <w:szCs w:val="1"/>
                <w:color w:val="auto"/>
              </w:rPr>
            </w:pPr>
          </w:p>
        </w:tc>
        <w:tc>
          <w:tcPr>
            <w:tcW w:w="1340" w:type="dxa"/>
            <w:vAlign w:val="bottom"/>
            <w:tcBorders>
              <w:bottom w:val="single" w:sz="8" w:color="0070C0"/>
              <w:right w:val="single" w:sz="8" w:color="0070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3260" w:type="dxa"/>
            <w:vAlign w:val="bottom"/>
            <w:tcBorders>
              <w:left w:val="single" w:sz="8" w:color="0070C0"/>
              <w:right w:val="single" w:sz="8" w:color="0070C0"/>
            </w:tcBorders>
            <w:vMerge w:val="continue"/>
          </w:tcPr>
          <w:p>
            <w:pPr>
              <w:spacing w:after="0"/>
              <w:rPr>
                <w:sz w:val="9"/>
                <w:szCs w:val="9"/>
                <w:color w:val="auto"/>
              </w:rPr>
            </w:pPr>
          </w:p>
        </w:tc>
        <w:tc>
          <w:tcPr>
            <w:tcW w:w="1040" w:type="dxa"/>
            <w:vAlign w:val="bottom"/>
            <w:tcBorders>
              <w:right w:val="single" w:sz="8" w:color="0070C0"/>
            </w:tcBorders>
            <w:vMerge w:val="continue"/>
          </w:tcPr>
          <w:p>
            <w:pPr>
              <w:spacing w:after="0"/>
              <w:rPr>
                <w:sz w:val="9"/>
                <w:szCs w:val="9"/>
                <w:color w:val="auto"/>
              </w:rPr>
            </w:pPr>
          </w:p>
        </w:tc>
        <w:tc>
          <w:tcPr>
            <w:tcW w:w="188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Payout Range</w:t>
            </w:r>
          </w:p>
        </w:tc>
        <w:tc>
          <w:tcPr>
            <w:tcW w:w="2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120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4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175"/>
        </w:trPr>
        <w:tc>
          <w:tcPr>
            <w:tcW w:w="3260" w:type="dxa"/>
            <w:vAlign w:val="bottom"/>
            <w:tcBorders>
              <w:left w:val="single" w:sz="8" w:color="0070C0"/>
              <w:right w:val="single" w:sz="8" w:color="0070C0"/>
            </w:tcBorders>
          </w:tcPr>
          <w:p>
            <w:pPr>
              <w:spacing w:after="0"/>
              <w:rPr>
                <w:sz w:val="15"/>
                <w:szCs w:val="15"/>
                <w:color w:val="auto"/>
              </w:rPr>
            </w:pPr>
          </w:p>
        </w:tc>
        <w:tc>
          <w:tcPr>
            <w:tcW w:w="1040" w:type="dxa"/>
            <w:vAlign w:val="bottom"/>
            <w:tcBorders>
              <w:right w:val="single" w:sz="8" w:color="0070C0"/>
            </w:tcBorders>
          </w:tcPr>
          <w:p>
            <w:pPr>
              <w:spacing w:after="0"/>
              <w:rPr>
                <w:sz w:val="15"/>
                <w:szCs w:val="15"/>
                <w:color w:val="auto"/>
              </w:rPr>
            </w:pPr>
          </w:p>
        </w:tc>
        <w:tc>
          <w:tcPr>
            <w:tcW w:w="1880" w:type="dxa"/>
            <w:vAlign w:val="bottom"/>
            <w:tcBorders>
              <w:right w:val="single" w:sz="8" w:color="0070C0"/>
            </w:tcBorders>
            <w:vMerge w:val="continue"/>
          </w:tcPr>
          <w:p>
            <w:pPr>
              <w:spacing w:after="0"/>
              <w:rPr>
                <w:sz w:val="15"/>
                <w:szCs w:val="15"/>
                <w:color w:val="auto"/>
              </w:rPr>
            </w:pPr>
          </w:p>
        </w:tc>
        <w:tc>
          <w:tcPr>
            <w:tcW w:w="2520" w:type="dxa"/>
            <w:vAlign w:val="bottom"/>
            <w:tcBorders>
              <w:right w:val="single" w:sz="8" w:color="0070C0"/>
            </w:tcBorders>
            <w:vMerge w:val="continue"/>
          </w:tcPr>
          <w:p>
            <w:pPr>
              <w:spacing w:after="0"/>
              <w:rPr>
                <w:sz w:val="15"/>
                <w:szCs w:val="15"/>
                <w:color w:val="auto"/>
              </w:rPr>
            </w:pPr>
          </w:p>
        </w:tc>
        <w:tc>
          <w:tcPr>
            <w:tcW w:w="1200" w:type="dxa"/>
            <w:vAlign w:val="bottom"/>
            <w:tcBorders>
              <w:right w:val="single" w:sz="8" w:color="0070C0"/>
            </w:tcBorders>
            <w:vMerge w:val="continue"/>
          </w:tcPr>
          <w:p>
            <w:pPr>
              <w:spacing w:after="0"/>
              <w:rPr>
                <w:sz w:val="15"/>
                <w:szCs w:val="15"/>
                <w:color w:val="auto"/>
              </w:rPr>
            </w:pPr>
          </w:p>
        </w:tc>
        <w:tc>
          <w:tcPr>
            <w:tcW w:w="1340" w:type="dxa"/>
            <w:vAlign w:val="bottom"/>
            <w:tcBorders>
              <w:right w:val="single" w:sz="8" w:color="0070C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60" w:type="dxa"/>
            <w:vAlign w:val="bottom"/>
            <w:tcBorders>
              <w:left w:val="single" w:sz="8" w:color="0070C0"/>
              <w:bottom w:val="single" w:sz="8" w:color="0070C0"/>
              <w:right w:val="single" w:sz="8" w:color="0070C0"/>
            </w:tcBorders>
          </w:tcPr>
          <w:p>
            <w:pPr>
              <w:spacing w:after="0" w:line="20" w:lineRule="exact"/>
              <w:rPr>
                <w:sz w:val="1"/>
                <w:szCs w:val="1"/>
                <w:color w:val="auto"/>
              </w:rPr>
            </w:pPr>
          </w:p>
        </w:tc>
        <w:tc>
          <w:tcPr>
            <w:tcW w:w="1040" w:type="dxa"/>
            <w:vAlign w:val="bottom"/>
            <w:tcBorders>
              <w:bottom w:val="single" w:sz="8" w:color="0070C0"/>
              <w:right w:val="single" w:sz="8" w:color="0070C0"/>
            </w:tcBorders>
          </w:tcPr>
          <w:p>
            <w:pPr>
              <w:spacing w:after="0" w:line="20" w:lineRule="exact"/>
              <w:rPr>
                <w:sz w:val="1"/>
                <w:szCs w:val="1"/>
                <w:color w:val="auto"/>
              </w:rPr>
            </w:pPr>
          </w:p>
        </w:tc>
        <w:tc>
          <w:tcPr>
            <w:tcW w:w="188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00" w:type="dxa"/>
            <w:vAlign w:val="bottom"/>
            <w:tcBorders>
              <w:bottom w:val="single" w:sz="8" w:color="0070C0"/>
              <w:right w:val="single" w:sz="8" w:color="0070C0"/>
            </w:tcBorders>
          </w:tcPr>
          <w:p>
            <w:pPr>
              <w:spacing w:after="0" w:line="20" w:lineRule="exact"/>
              <w:rPr>
                <w:sz w:val="1"/>
                <w:szCs w:val="1"/>
                <w:color w:val="auto"/>
              </w:rPr>
            </w:pPr>
          </w:p>
        </w:tc>
        <w:tc>
          <w:tcPr>
            <w:tcW w:w="1340" w:type="dxa"/>
            <w:vAlign w:val="bottom"/>
            <w:tcBorders>
              <w:bottom w:val="single" w:sz="8" w:color="0070C0"/>
              <w:right w:val="single" w:sz="8" w:color="0070C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260" w:type="dxa"/>
            <w:vAlign w:val="bottom"/>
            <w:tcBorders>
              <w:left w:val="single" w:sz="8" w:color="0070C0"/>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rPr>
              <w:t>Metric</w:t>
            </w:r>
          </w:p>
        </w:tc>
        <w:tc>
          <w:tcPr>
            <w:tcW w:w="104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Weight</w:t>
            </w:r>
          </w:p>
        </w:tc>
        <w:tc>
          <w:tcPr>
            <w:tcW w:w="188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Category</w:t>
            </w:r>
          </w:p>
        </w:tc>
        <w:tc>
          <w:tcPr>
            <w:tcW w:w="3720" w:type="dxa"/>
            <w:vAlign w:val="bottom"/>
            <w:tcBorders>
              <w:right w:val="single" w:sz="8" w:color="0070C0"/>
            </w:tcBorders>
            <w:gridSpan w:val="2"/>
            <w:shd w:val="clear" w:color="auto" w:fill="0070C0"/>
          </w:tcPr>
          <w:p>
            <w:pPr>
              <w:ind w:left="1640"/>
              <w:spacing w:after="0"/>
              <w:rPr>
                <w:sz w:val="20"/>
                <w:szCs w:val="20"/>
                <w:color w:val="auto"/>
              </w:rPr>
            </w:pPr>
            <w:r>
              <w:rPr>
                <w:rFonts w:ascii="Times New Roman" w:cs="Times New Roman" w:eastAsia="Times New Roman" w:hAnsi="Times New Roman"/>
                <w:sz w:val="20"/>
                <w:szCs w:val="20"/>
                <w:b w:val="1"/>
                <w:bCs w:val="1"/>
                <w:color w:val="FFFFFF"/>
              </w:rPr>
              <w:t>Performance Ranges</w:t>
            </w:r>
          </w:p>
        </w:tc>
        <w:tc>
          <w:tcPr>
            <w:tcW w:w="1320" w:type="dxa"/>
            <w:vAlign w:val="bottom"/>
            <w:shd w:val="clear" w:color="auto" w:fill="0070C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60" w:type="dxa"/>
            <w:vAlign w:val="bottom"/>
            <w:tcBorders>
              <w:left w:val="single" w:sz="8" w:color="0070C0"/>
              <w:right w:val="single" w:sz="8" w:color="0070C0"/>
            </w:tcBorders>
            <w:vMerge w:val="continue"/>
            <w:shd w:val="clear" w:color="auto" w:fill="0070C0"/>
          </w:tcPr>
          <w:p>
            <w:pPr>
              <w:spacing w:after="0"/>
              <w:rPr>
                <w:sz w:val="14"/>
                <w:szCs w:val="14"/>
                <w:color w:val="auto"/>
              </w:rPr>
            </w:pPr>
          </w:p>
        </w:tc>
        <w:tc>
          <w:tcPr>
            <w:tcW w:w="1040" w:type="dxa"/>
            <w:vAlign w:val="bottom"/>
            <w:tcBorders>
              <w:right w:val="single" w:sz="8" w:color="0070C0"/>
            </w:tcBorders>
            <w:vMerge w:val="continue"/>
            <w:shd w:val="clear" w:color="auto" w:fill="0070C0"/>
          </w:tcPr>
          <w:p>
            <w:pPr>
              <w:spacing w:after="0"/>
              <w:rPr>
                <w:sz w:val="14"/>
                <w:szCs w:val="14"/>
                <w:color w:val="auto"/>
              </w:rPr>
            </w:pPr>
          </w:p>
        </w:tc>
        <w:tc>
          <w:tcPr>
            <w:tcW w:w="1880" w:type="dxa"/>
            <w:vAlign w:val="bottom"/>
            <w:tcBorders>
              <w:right w:val="single" w:sz="8" w:color="0070C0"/>
            </w:tcBorders>
            <w:vMerge w:val="continue"/>
            <w:shd w:val="clear" w:color="auto" w:fill="0070C0"/>
          </w:tcPr>
          <w:p>
            <w:pPr>
              <w:spacing w:after="0"/>
              <w:rPr>
                <w:sz w:val="14"/>
                <w:szCs w:val="14"/>
                <w:color w:val="auto"/>
              </w:rPr>
            </w:pPr>
          </w:p>
        </w:tc>
        <w:tc>
          <w:tcPr>
            <w:tcW w:w="252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Minimum/Threshold</w:t>
            </w:r>
          </w:p>
        </w:tc>
        <w:tc>
          <w:tcPr>
            <w:tcW w:w="1200" w:type="dxa"/>
            <w:vAlign w:val="bottom"/>
            <w:tcBorders>
              <w:right w:val="single" w:sz="8" w:color="0070C0"/>
            </w:tcBorders>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3"/>
              </w:rPr>
              <w:t>Target</w:t>
            </w:r>
          </w:p>
        </w:tc>
        <w:tc>
          <w:tcPr>
            <w:tcW w:w="1320" w:type="dxa"/>
            <w:vAlign w:val="bottom"/>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Maximum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260" w:type="dxa"/>
            <w:vAlign w:val="bottom"/>
            <w:tcBorders>
              <w:left w:val="single" w:sz="8" w:color="0070C0"/>
              <w:bottom w:val="single" w:sz="8" w:color="0070C0"/>
              <w:right w:val="single" w:sz="8" w:color="0070C0"/>
            </w:tcBorders>
            <w:shd w:val="clear" w:color="auto" w:fill="0070C0"/>
          </w:tcPr>
          <w:p>
            <w:pPr>
              <w:spacing w:after="0"/>
              <w:rPr>
                <w:sz w:val="17"/>
                <w:szCs w:val="17"/>
                <w:color w:val="auto"/>
              </w:rPr>
            </w:pPr>
          </w:p>
        </w:tc>
        <w:tc>
          <w:tcPr>
            <w:tcW w:w="1040" w:type="dxa"/>
            <w:vAlign w:val="bottom"/>
            <w:tcBorders>
              <w:bottom w:val="single" w:sz="8" w:color="0070C0"/>
              <w:right w:val="single" w:sz="8" w:color="0070C0"/>
            </w:tcBorders>
            <w:shd w:val="clear" w:color="auto" w:fill="0070C0"/>
          </w:tcPr>
          <w:p>
            <w:pPr>
              <w:spacing w:after="0"/>
              <w:rPr>
                <w:sz w:val="17"/>
                <w:szCs w:val="17"/>
                <w:color w:val="auto"/>
              </w:rPr>
            </w:pPr>
          </w:p>
        </w:tc>
        <w:tc>
          <w:tcPr>
            <w:tcW w:w="1880" w:type="dxa"/>
            <w:vAlign w:val="bottom"/>
            <w:tcBorders>
              <w:bottom w:val="single" w:sz="8" w:color="0070C0"/>
              <w:right w:val="single" w:sz="8" w:color="0070C0"/>
            </w:tcBorders>
            <w:shd w:val="clear" w:color="auto" w:fill="0070C0"/>
          </w:tcPr>
          <w:p>
            <w:pPr>
              <w:spacing w:after="0"/>
              <w:rPr>
                <w:sz w:val="17"/>
                <w:szCs w:val="17"/>
                <w:color w:val="auto"/>
              </w:rPr>
            </w:pPr>
          </w:p>
        </w:tc>
        <w:tc>
          <w:tcPr>
            <w:tcW w:w="2520" w:type="dxa"/>
            <w:vAlign w:val="bottom"/>
            <w:tcBorders>
              <w:bottom w:val="single" w:sz="8" w:color="0070C0"/>
              <w:right w:val="single" w:sz="8" w:color="0070C0"/>
            </w:tcBorders>
            <w:vMerge w:val="continue"/>
            <w:shd w:val="clear" w:color="auto" w:fill="0070C0"/>
          </w:tcPr>
          <w:p>
            <w:pPr>
              <w:spacing w:after="0"/>
              <w:rPr>
                <w:sz w:val="17"/>
                <w:szCs w:val="17"/>
                <w:color w:val="auto"/>
              </w:rPr>
            </w:pPr>
          </w:p>
        </w:tc>
        <w:tc>
          <w:tcPr>
            <w:tcW w:w="1200" w:type="dxa"/>
            <w:vAlign w:val="bottom"/>
            <w:tcBorders>
              <w:bottom w:val="single" w:sz="8" w:color="0070C0"/>
              <w:right w:val="single" w:sz="8" w:color="0070C0"/>
            </w:tcBorders>
            <w:vMerge w:val="continue"/>
            <w:shd w:val="clear" w:color="auto" w:fill="0070C0"/>
          </w:tcPr>
          <w:p>
            <w:pPr>
              <w:spacing w:after="0"/>
              <w:rPr>
                <w:sz w:val="17"/>
                <w:szCs w:val="17"/>
                <w:color w:val="auto"/>
              </w:rPr>
            </w:pPr>
          </w:p>
        </w:tc>
        <w:tc>
          <w:tcPr>
            <w:tcW w:w="1320" w:type="dxa"/>
            <w:vAlign w:val="bottom"/>
            <w:tcBorders>
              <w:bottom w:val="single" w:sz="8" w:color="0070C0"/>
            </w:tcBorders>
            <w:vMerge w:val="continue"/>
            <w:shd w:val="clear" w:color="auto" w:fill="0070C0"/>
          </w:tcPr>
          <w:p>
            <w:pPr>
              <w:spacing w:after="0"/>
              <w:rPr>
                <w:sz w:val="17"/>
                <w:szCs w:val="17"/>
                <w:color w:val="auto"/>
              </w:rPr>
            </w:pPr>
          </w:p>
        </w:tc>
        <w:tc>
          <w:tcPr>
            <w:tcW w:w="20" w:type="dxa"/>
            <w:vAlign w:val="bottom"/>
            <w:tcBorders>
              <w:bottom w:val="single" w:sz="8" w:color="0070C0"/>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26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Commercial Net Revenue</w:t>
            </w:r>
          </w:p>
        </w:tc>
        <w:tc>
          <w:tcPr>
            <w:tcW w:w="104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188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 Achievement</w:t>
            </w:r>
          </w:p>
        </w:tc>
        <w:tc>
          <w:tcPr>
            <w:tcW w:w="2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90%</w:t>
            </w:r>
          </w:p>
        </w:tc>
        <w:tc>
          <w:tcPr>
            <w:tcW w:w="12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20" w:type="dxa"/>
            <w:vAlign w:val="bottom"/>
            <w:shd w:val="clear" w:color="auto" w:fill="0070C0"/>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60" w:type="dxa"/>
            <w:vAlign w:val="bottom"/>
            <w:tcBorders>
              <w:left w:val="single" w:sz="8" w:color="0070C0"/>
              <w:right w:val="single" w:sz="8" w:color="0070C0"/>
            </w:tcBorders>
            <w:vMerge w:val="continue"/>
          </w:tcPr>
          <w:p>
            <w:pPr>
              <w:spacing w:after="0" w:line="20" w:lineRule="exact"/>
              <w:rPr>
                <w:sz w:val="1"/>
                <w:szCs w:val="1"/>
                <w:color w:val="auto"/>
              </w:rPr>
            </w:pPr>
          </w:p>
        </w:tc>
        <w:tc>
          <w:tcPr>
            <w:tcW w:w="1040" w:type="dxa"/>
            <w:vAlign w:val="bottom"/>
            <w:tcBorders>
              <w:right w:val="single" w:sz="8" w:color="0070C0"/>
            </w:tcBorders>
            <w:vMerge w:val="continue"/>
          </w:tcPr>
          <w:p>
            <w:pPr>
              <w:spacing w:after="0" w:line="20" w:lineRule="exact"/>
              <w:rPr>
                <w:sz w:val="1"/>
                <w:szCs w:val="1"/>
                <w:color w:val="auto"/>
              </w:rPr>
            </w:pPr>
          </w:p>
        </w:tc>
        <w:tc>
          <w:tcPr>
            <w:tcW w:w="188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00" w:type="dxa"/>
            <w:vAlign w:val="bottom"/>
            <w:tcBorders>
              <w:bottom w:val="single" w:sz="8" w:color="0070C0"/>
              <w:right w:val="single" w:sz="8" w:color="0070C0"/>
            </w:tcBorders>
          </w:tcPr>
          <w:p>
            <w:pPr>
              <w:spacing w:after="0" w:line="20" w:lineRule="exact"/>
              <w:rPr>
                <w:sz w:val="1"/>
                <w:szCs w:val="1"/>
                <w:color w:val="auto"/>
              </w:rPr>
            </w:pPr>
          </w:p>
        </w:tc>
        <w:tc>
          <w:tcPr>
            <w:tcW w:w="1320" w:type="dxa"/>
            <w:vAlign w:val="bottom"/>
            <w:tcBorders>
              <w:bottom w:val="single" w:sz="8" w:color="0070C0"/>
            </w:tcBorders>
          </w:tcPr>
          <w:p>
            <w:pPr>
              <w:spacing w:after="0" w:line="20" w:lineRule="exact"/>
              <w:rPr>
                <w:sz w:val="1"/>
                <w:szCs w:val="1"/>
                <w:color w:val="auto"/>
              </w:rPr>
            </w:pPr>
          </w:p>
        </w:tc>
        <w:tc>
          <w:tcPr>
            <w:tcW w:w="20" w:type="dxa"/>
            <w:vAlign w:val="bottom"/>
            <w:tcBorders>
              <w:bottom w:val="single" w:sz="8" w:color="0070C0"/>
            </w:tcBorders>
            <w:shd w:val="clear" w:color="auto" w:fill="0070C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3260" w:type="dxa"/>
            <w:vAlign w:val="bottom"/>
            <w:tcBorders>
              <w:left w:val="single" w:sz="8" w:color="0070C0"/>
              <w:right w:val="single" w:sz="8" w:color="0070C0"/>
            </w:tcBorders>
            <w:vMerge w:val="continue"/>
          </w:tcPr>
          <w:p>
            <w:pPr>
              <w:spacing w:after="0"/>
              <w:rPr>
                <w:sz w:val="9"/>
                <w:szCs w:val="9"/>
                <w:color w:val="auto"/>
              </w:rPr>
            </w:pPr>
          </w:p>
        </w:tc>
        <w:tc>
          <w:tcPr>
            <w:tcW w:w="1040" w:type="dxa"/>
            <w:vAlign w:val="bottom"/>
            <w:tcBorders>
              <w:right w:val="single" w:sz="8" w:color="0070C0"/>
            </w:tcBorders>
            <w:vMerge w:val="continue"/>
          </w:tcPr>
          <w:p>
            <w:pPr>
              <w:spacing w:after="0"/>
              <w:rPr>
                <w:sz w:val="9"/>
                <w:szCs w:val="9"/>
                <w:color w:val="auto"/>
              </w:rPr>
            </w:pPr>
          </w:p>
        </w:tc>
        <w:tc>
          <w:tcPr>
            <w:tcW w:w="188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Payout Range</w:t>
            </w:r>
          </w:p>
        </w:tc>
        <w:tc>
          <w:tcPr>
            <w:tcW w:w="2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120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300%</w:t>
            </w:r>
          </w:p>
        </w:tc>
        <w:tc>
          <w:tcPr>
            <w:tcW w:w="20" w:type="dxa"/>
            <w:vAlign w:val="bottom"/>
            <w:shd w:val="clear" w:color="auto" w:fill="0070C0"/>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260" w:type="dxa"/>
            <w:vAlign w:val="bottom"/>
            <w:tcBorders>
              <w:left w:val="single" w:sz="8" w:color="0070C0"/>
              <w:right w:val="single" w:sz="8" w:color="0070C0"/>
            </w:tcBorders>
          </w:tcPr>
          <w:p>
            <w:pPr>
              <w:spacing w:after="0"/>
              <w:rPr>
                <w:sz w:val="15"/>
                <w:szCs w:val="15"/>
                <w:color w:val="auto"/>
              </w:rPr>
            </w:pPr>
          </w:p>
        </w:tc>
        <w:tc>
          <w:tcPr>
            <w:tcW w:w="1040" w:type="dxa"/>
            <w:vAlign w:val="bottom"/>
            <w:tcBorders>
              <w:right w:val="single" w:sz="8" w:color="0070C0"/>
            </w:tcBorders>
          </w:tcPr>
          <w:p>
            <w:pPr>
              <w:spacing w:after="0"/>
              <w:rPr>
                <w:sz w:val="15"/>
                <w:szCs w:val="15"/>
                <w:color w:val="auto"/>
              </w:rPr>
            </w:pPr>
          </w:p>
        </w:tc>
        <w:tc>
          <w:tcPr>
            <w:tcW w:w="1880" w:type="dxa"/>
            <w:vAlign w:val="bottom"/>
            <w:tcBorders>
              <w:right w:val="single" w:sz="8" w:color="0070C0"/>
            </w:tcBorders>
            <w:vMerge w:val="continue"/>
          </w:tcPr>
          <w:p>
            <w:pPr>
              <w:spacing w:after="0"/>
              <w:rPr>
                <w:sz w:val="15"/>
                <w:szCs w:val="15"/>
                <w:color w:val="auto"/>
              </w:rPr>
            </w:pPr>
          </w:p>
        </w:tc>
        <w:tc>
          <w:tcPr>
            <w:tcW w:w="2520" w:type="dxa"/>
            <w:vAlign w:val="bottom"/>
            <w:tcBorders>
              <w:right w:val="single" w:sz="8" w:color="0070C0"/>
            </w:tcBorders>
            <w:vMerge w:val="continue"/>
          </w:tcPr>
          <w:p>
            <w:pPr>
              <w:spacing w:after="0"/>
              <w:rPr>
                <w:sz w:val="15"/>
                <w:szCs w:val="15"/>
                <w:color w:val="auto"/>
              </w:rPr>
            </w:pPr>
          </w:p>
        </w:tc>
        <w:tc>
          <w:tcPr>
            <w:tcW w:w="1200" w:type="dxa"/>
            <w:vAlign w:val="bottom"/>
            <w:tcBorders>
              <w:right w:val="single" w:sz="8" w:color="0070C0"/>
            </w:tcBorders>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shd w:val="clear" w:color="auto" w:fill="0070C0"/>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60" w:type="dxa"/>
            <w:vAlign w:val="bottom"/>
            <w:tcBorders>
              <w:left w:val="single" w:sz="8" w:color="0070C0"/>
              <w:bottom w:val="single" w:sz="8" w:color="0070C0"/>
              <w:right w:val="single" w:sz="8" w:color="0070C0"/>
            </w:tcBorders>
          </w:tcPr>
          <w:p>
            <w:pPr>
              <w:spacing w:after="0" w:line="20" w:lineRule="exact"/>
              <w:rPr>
                <w:sz w:val="1"/>
                <w:szCs w:val="1"/>
                <w:color w:val="auto"/>
              </w:rPr>
            </w:pPr>
          </w:p>
        </w:tc>
        <w:tc>
          <w:tcPr>
            <w:tcW w:w="1040" w:type="dxa"/>
            <w:vAlign w:val="bottom"/>
            <w:tcBorders>
              <w:bottom w:val="single" w:sz="8" w:color="0070C0"/>
              <w:right w:val="single" w:sz="8" w:color="0070C0"/>
            </w:tcBorders>
          </w:tcPr>
          <w:p>
            <w:pPr>
              <w:spacing w:after="0" w:line="20" w:lineRule="exact"/>
              <w:rPr>
                <w:sz w:val="1"/>
                <w:szCs w:val="1"/>
                <w:color w:val="auto"/>
              </w:rPr>
            </w:pPr>
          </w:p>
        </w:tc>
        <w:tc>
          <w:tcPr>
            <w:tcW w:w="188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00" w:type="dxa"/>
            <w:vAlign w:val="bottom"/>
            <w:tcBorders>
              <w:bottom w:val="single" w:sz="8" w:color="0070C0"/>
              <w:right w:val="single" w:sz="8" w:color="0070C0"/>
            </w:tcBorders>
          </w:tcPr>
          <w:p>
            <w:pPr>
              <w:spacing w:after="0" w:line="20" w:lineRule="exact"/>
              <w:rPr>
                <w:sz w:val="1"/>
                <w:szCs w:val="1"/>
                <w:color w:val="auto"/>
              </w:rPr>
            </w:pPr>
          </w:p>
        </w:tc>
        <w:tc>
          <w:tcPr>
            <w:tcW w:w="1320" w:type="dxa"/>
            <w:vAlign w:val="bottom"/>
            <w:tcBorders>
              <w:bottom w:val="single" w:sz="8" w:color="0070C0"/>
            </w:tcBorders>
          </w:tcPr>
          <w:p>
            <w:pPr>
              <w:spacing w:after="0" w:line="20" w:lineRule="exact"/>
              <w:rPr>
                <w:sz w:val="1"/>
                <w:szCs w:val="1"/>
                <w:color w:val="auto"/>
              </w:rPr>
            </w:pPr>
          </w:p>
        </w:tc>
        <w:tc>
          <w:tcPr>
            <w:tcW w:w="20" w:type="dxa"/>
            <w:vAlign w:val="bottom"/>
            <w:tcBorders>
              <w:bottom w:val="single" w:sz="8" w:color="0070C0"/>
            </w:tcBorders>
            <w:shd w:val="clear" w:color="auto" w:fill="0070C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326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Commercial Operating Profit Dollars</w:t>
            </w:r>
          </w:p>
        </w:tc>
        <w:tc>
          <w:tcPr>
            <w:tcW w:w="104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188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 Achievement</w:t>
            </w:r>
          </w:p>
        </w:tc>
        <w:tc>
          <w:tcPr>
            <w:tcW w:w="2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80%</w:t>
            </w:r>
          </w:p>
        </w:tc>
        <w:tc>
          <w:tcPr>
            <w:tcW w:w="12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20" w:type="dxa"/>
            <w:vAlign w:val="bottom"/>
            <w:shd w:val="clear" w:color="auto" w:fill="0070C0"/>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60" w:type="dxa"/>
            <w:vAlign w:val="bottom"/>
            <w:tcBorders>
              <w:left w:val="single" w:sz="8" w:color="0070C0"/>
              <w:right w:val="single" w:sz="8" w:color="0070C0"/>
            </w:tcBorders>
            <w:vMerge w:val="continue"/>
          </w:tcPr>
          <w:p>
            <w:pPr>
              <w:spacing w:after="0" w:line="20" w:lineRule="exact"/>
              <w:rPr>
                <w:sz w:val="1"/>
                <w:szCs w:val="1"/>
                <w:color w:val="auto"/>
              </w:rPr>
            </w:pPr>
          </w:p>
        </w:tc>
        <w:tc>
          <w:tcPr>
            <w:tcW w:w="1040" w:type="dxa"/>
            <w:vAlign w:val="bottom"/>
            <w:tcBorders>
              <w:right w:val="single" w:sz="8" w:color="0070C0"/>
            </w:tcBorders>
            <w:vMerge w:val="continue"/>
          </w:tcPr>
          <w:p>
            <w:pPr>
              <w:spacing w:after="0" w:line="20" w:lineRule="exact"/>
              <w:rPr>
                <w:sz w:val="1"/>
                <w:szCs w:val="1"/>
                <w:color w:val="auto"/>
              </w:rPr>
            </w:pPr>
          </w:p>
        </w:tc>
        <w:tc>
          <w:tcPr>
            <w:tcW w:w="188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00" w:type="dxa"/>
            <w:vAlign w:val="bottom"/>
            <w:tcBorders>
              <w:bottom w:val="single" w:sz="8" w:color="0070C0"/>
              <w:right w:val="single" w:sz="8" w:color="0070C0"/>
            </w:tcBorders>
          </w:tcPr>
          <w:p>
            <w:pPr>
              <w:spacing w:after="0" w:line="20" w:lineRule="exact"/>
              <w:rPr>
                <w:sz w:val="1"/>
                <w:szCs w:val="1"/>
                <w:color w:val="auto"/>
              </w:rPr>
            </w:pPr>
          </w:p>
        </w:tc>
        <w:tc>
          <w:tcPr>
            <w:tcW w:w="1320" w:type="dxa"/>
            <w:vAlign w:val="bottom"/>
            <w:tcBorders>
              <w:bottom w:val="single" w:sz="8" w:color="0070C0"/>
            </w:tcBorders>
          </w:tcPr>
          <w:p>
            <w:pPr>
              <w:spacing w:after="0" w:line="20" w:lineRule="exact"/>
              <w:rPr>
                <w:sz w:val="1"/>
                <w:szCs w:val="1"/>
                <w:color w:val="auto"/>
              </w:rPr>
            </w:pPr>
          </w:p>
        </w:tc>
        <w:tc>
          <w:tcPr>
            <w:tcW w:w="20" w:type="dxa"/>
            <w:vAlign w:val="bottom"/>
            <w:tcBorders>
              <w:bottom w:val="single" w:sz="8" w:color="0070C0"/>
            </w:tcBorders>
            <w:shd w:val="clear" w:color="auto" w:fill="0070C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3260" w:type="dxa"/>
            <w:vAlign w:val="bottom"/>
            <w:tcBorders>
              <w:left w:val="single" w:sz="8" w:color="0070C0"/>
              <w:right w:val="single" w:sz="8" w:color="0070C0"/>
            </w:tcBorders>
            <w:vMerge w:val="continue"/>
          </w:tcPr>
          <w:p>
            <w:pPr>
              <w:spacing w:after="0"/>
              <w:rPr>
                <w:sz w:val="9"/>
                <w:szCs w:val="9"/>
                <w:color w:val="auto"/>
              </w:rPr>
            </w:pPr>
          </w:p>
        </w:tc>
        <w:tc>
          <w:tcPr>
            <w:tcW w:w="1040" w:type="dxa"/>
            <w:vAlign w:val="bottom"/>
            <w:tcBorders>
              <w:right w:val="single" w:sz="8" w:color="0070C0"/>
            </w:tcBorders>
            <w:vMerge w:val="continue"/>
          </w:tcPr>
          <w:p>
            <w:pPr>
              <w:spacing w:after="0"/>
              <w:rPr>
                <w:sz w:val="9"/>
                <w:szCs w:val="9"/>
                <w:color w:val="auto"/>
              </w:rPr>
            </w:pPr>
          </w:p>
        </w:tc>
        <w:tc>
          <w:tcPr>
            <w:tcW w:w="188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Payout Range</w:t>
            </w:r>
          </w:p>
        </w:tc>
        <w:tc>
          <w:tcPr>
            <w:tcW w:w="2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120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20" w:type="dxa"/>
            <w:vAlign w:val="bottom"/>
            <w:shd w:val="clear" w:color="auto" w:fill="0070C0"/>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260" w:type="dxa"/>
            <w:vAlign w:val="bottom"/>
            <w:tcBorders>
              <w:left w:val="single" w:sz="8" w:color="0070C0"/>
              <w:right w:val="single" w:sz="8" w:color="0070C0"/>
            </w:tcBorders>
          </w:tcPr>
          <w:p>
            <w:pPr>
              <w:spacing w:after="0"/>
              <w:rPr>
                <w:sz w:val="15"/>
                <w:szCs w:val="15"/>
                <w:color w:val="auto"/>
              </w:rPr>
            </w:pPr>
          </w:p>
        </w:tc>
        <w:tc>
          <w:tcPr>
            <w:tcW w:w="1040" w:type="dxa"/>
            <w:vAlign w:val="bottom"/>
            <w:tcBorders>
              <w:right w:val="single" w:sz="8" w:color="0070C0"/>
            </w:tcBorders>
          </w:tcPr>
          <w:p>
            <w:pPr>
              <w:spacing w:after="0"/>
              <w:rPr>
                <w:sz w:val="15"/>
                <w:szCs w:val="15"/>
                <w:color w:val="auto"/>
              </w:rPr>
            </w:pPr>
          </w:p>
        </w:tc>
        <w:tc>
          <w:tcPr>
            <w:tcW w:w="1880" w:type="dxa"/>
            <w:vAlign w:val="bottom"/>
            <w:tcBorders>
              <w:right w:val="single" w:sz="8" w:color="0070C0"/>
            </w:tcBorders>
            <w:vMerge w:val="continue"/>
          </w:tcPr>
          <w:p>
            <w:pPr>
              <w:spacing w:after="0"/>
              <w:rPr>
                <w:sz w:val="15"/>
                <w:szCs w:val="15"/>
                <w:color w:val="auto"/>
              </w:rPr>
            </w:pPr>
          </w:p>
        </w:tc>
        <w:tc>
          <w:tcPr>
            <w:tcW w:w="2520" w:type="dxa"/>
            <w:vAlign w:val="bottom"/>
            <w:tcBorders>
              <w:right w:val="single" w:sz="8" w:color="0070C0"/>
            </w:tcBorders>
            <w:vMerge w:val="continue"/>
          </w:tcPr>
          <w:p>
            <w:pPr>
              <w:spacing w:after="0"/>
              <w:rPr>
                <w:sz w:val="15"/>
                <w:szCs w:val="15"/>
                <w:color w:val="auto"/>
              </w:rPr>
            </w:pPr>
          </w:p>
        </w:tc>
        <w:tc>
          <w:tcPr>
            <w:tcW w:w="1200" w:type="dxa"/>
            <w:vAlign w:val="bottom"/>
            <w:tcBorders>
              <w:right w:val="single" w:sz="8" w:color="0070C0"/>
            </w:tcBorders>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shd w:val="clear" w:color="auto" w:fill="0070C0"/>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60" w:type="dxa"/>
            <w:vAlign w:val="bottom"/>
            <w:tcBorders>
              <w:left w:val="single" w:sz="8" w:color="0070C0"/>
              <w:bottom w:val="single" w:sz="8" w:color="0070C0"/>
              <w:right w:val="single" w:sz="8" w:color="0070C0"/>
            </w:tcBorders>
          </w:tcPr>
          <w:p>
            <w:pPr>
              <w:spacing w:after="0" w:line="20" w:lineRule="exact"/>
              <w:rPr>
                <w:sz w:val="1"/>
                <w:szCs w:val="1"/>
                <w:color w:val="auto"/>
              </w:rPr>
            </w:pPr>
          </w:p>
        </w:tc>
        <w:tc>
          <w:tcPr>
            <w:tcW w:w="1040" w:type="dxa"/>
            <w:vAlign w:val="bottom"/>
            <w:tcBorders>
              <w:bottom w:val="single" w:sz="8" w:color="0070C0"/>
              <w:right w:val="single" w:sz="8" w:color="0070C0"/>
            </w:tcBorders>
          </w:tcPr>
          <w:p>
            <w:pPr>
              <w:spacing w:after="0" w:line="20" w:lineRule="exact"/>
              <w:rPr>
                <w:sz w:val="1"/>
                <w:szCs w:val="1"/>
                <w:color w:val="auto"/>
              </w:rPr>
            </w:pPr>
          </w:p>
        </w:tc>
        <w:tc>
          <w:tcPr>
            <w:tcW w:w="1880" w:type="dxa"/>
            <w:vAlign w:val="bottom"/>
            <w:tcBorders>
              <w:bottom w:val="single" w:sz="8" w:color="0070C0"/>
              <w:right w:val="single" w:sz="8" w:color="0070C0"/>
            </w:tcBorders>
          </w:tcPr>
          <w:p>
            <w:pPr>
              <w:spacing w:after="0" w:line="20" w:lineRule="exact"/>
              <w:rPr>
                <w:sz w:val="1"/>
                <w:szCs w:val="1"/>
                <w:color w:val="auto"/>
              </w:rPr>
            </w:pPr>
          </w:p>
        </w:tc>
        <w:tc>
          <w:tcPr>
            <w:tcW w:w="2520" w:type="dxa"/>
            <w:vAlign w:val="bottom"/>
            <w:tcBorders>
              <w:bottom w:val="single" w:sz="8" w:color="0070C0"/>
              <w:right w:val="single" w:sz="8" w:color="0070C0"/>
            </w:tcBorders>
          </w:tcPr>
          <w:p>
            <w:pPr>
              <w:spacing w:after="0" w:line="20" w:lineRule="exact"/>
              <w:rPr>
                <w:sz w:val="1"/>
                <w:szCs w:val="1"/>
                <w:color w:val="auto"/>
              </w:rPr>
            </w:pPr>
          </w:p>
        </w:tc>
        <w:tc>
          <w:tcPr>
            <w:tcW w:w="1200" w:type="dxa"/>
            <w:vAlign w:val="bottom"/>
            <w:tcBorders>
              <w:bottom w:val="single" w:sz="8" w:color="0070C0"/>
              <w:right w:val="single" w:sz="8" w:color="0070C0"/>
            </w:tcBorders>
          </w:tcPr>
          <w:p>
            <w:pPr>
              <w:spacing w:after="0" w:line="20" w:lineRule="exact"/>
              <w:rPr>
                <w:sz w:val="1"/>
                <w:szCs w:val="1"/>
                <w:color w:val="auto"/>
              </w:rPr>
            </w:pPr>
          </w:p>
        </w:tc>
        <w:tc>
          <w:tcPr>
            <w:tcW w:w="1320" w:type="dxa"/>
            <w:vAlign w:val="bottom"/>
            <w:tcBorders>
              <w:bottom w:val="single" w:sz="8" w:color="0070C0"/>
            </w:tcBorders>
          </w:tcPr>
          <w:p>
            <w:pPr>
              <w:spacing w:after="0" w:line="20" w:lineRule="exact"/>
              <w:rPr>
                <w:sz w:val="1"/>
                <w:szCs w:val="1"/>
                <w:color w:val="auto"/>
              </w:rPr>
            </w:pPr>
          </w:p>
        </w:tc>
        <w:tc>
          <w:tcPr>
            <w:tcW w:w="20" w:type="dxa"/>
            <w:vAlign w:val="bottom"/>
            <w:tcBorders>
              <w:bottom w:val="single" w:sz="8" w:color="0070C0"/>
            </w:tcBorders>
            <w:shd w:val="clear" w:color="auto" w:fill="0070C0"/>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Strategic Scorecard Performance Scale:</w:t>
      </w:r>
    </w:p>
    <w:p>
      <w:pPr>
        <w:spacing w:after="0" w:line="260" w:lineRule="exact"/>
        <w:rPr>
          <w:sz w:val="20"/>
          <w:szCs w:val="20"/>
          <w:color w:val="auto"/>
        </w:rPr>
      </w:pPr>
    </w:p>
    <w:p>
      <w:pPr>
        <w:ind w:left="1140" w:right="380"/>
        <w:spacing w:after="0" w:line="284" w:lineRule="auto"/>
        <w:rPr>
          <w:sz w:val="20"/>
          <w:szCs w:val="20"/>
          <w:color w:val="auto"/>
        </w:rPr>
      </w:pPr>
      <w:r>
        <w:rPr>
          <w:rFonts w:ascii="Times New Roman" w:cs="Times New Roman" w:eastAsia="Times New Roman" w:hAnsi="Times New Roman"/>
          <w:sz w:val="22"/>
          <w:szCs w:val="22"/>
          <w:color w:val="auto"/>
        </w:rPr>
        <w:t>The metrics included on the Hasbro Strategic Scorecard will be assessed using a combination of quantitative and qualitative measures. Achievement will range from 0% to a maximum of 200%.</w:t>
      </w:r>
    </w:p>
    <w:p>
      <w:pPr>
        <w:spacing w:after="0" w:line="184" w:lineRule="exact"/>
        <w:rPr>
          <w:sz w:val="20"/>
          <w:szCs w:val="20"/>
          <w:color w:val="auto"/>
        </w:rPr>
      </w:pPr>
    </w:p>
    <w:p>
      <w:pPr>
        <w:ind w:left="660" w:right="340"/>
        <w:spacing w:after="0" w:line="265" w:lineRule="auto"/>
        <w:rPr>
          <w:sz w:val="20"/>
          <w:szCs w:val="20"/>
          <w:color w:val="auto"/>
        </w:rPr>
      </w:pPr>
      <w:r>
        <w:rPr>
          <w:rFonts w:ascii="Times New Roman" w:cs="Times New Roman" w:eastAsia="Times New Roman" w:hAnsi="Times New Roman"/>
          <w:sz w:val="22"/>
          <w:szCs w:val="22"/>
          <w:color w:val="auto"/>
        </w:rPr>
        <w:t>In the event that achievement for a financial performance metric is between threshold performance and target performance or between target performance and maximum performance, the applicable funding pool scale percentage, applicable to each PRP plan, will be applied. The performance scales for the Total Hasbro and each Business Unit plan are included in the appendix to this document.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60"/>
          </w:cols>
          <w:pgMar w:left="320" w:top="815" w:right="319" w:bottom="1440" w:gutter="0" w:footer="0" w:header="0"/>
        </w:sectPr>
      </w:pPr>
    </w:p>
    <w:bookmarkStart w:id="54" w:name="page55"/>
    <w:bookmarkEnd w:id="54"/>
    <w:p>
      <w:pPr>
        <w:ind w:left="280" w:hanging="8"/>
        <w:spacing w:after="0" w:line="256" w:lineRule="auto"/>
        <w:rPr>
          <w:sz w:val="20"/>
          <w:szCs w:val="20"/>
          <w:color w:val="auto"/>
        </w:rPr>
      </w:pPr>
      <w:r>
        <w:rPr>
          <w:rFonts w:ascii="Times New Roman" w:cs="Times New Roman" w:eastAsia="Times New Roman" w:hAnsi="Times New Roman"/>
          <w:sz w:val="22"/>
          <w:szCs w:val="22"/>
          <w:color w:val="auto"/>
        </w:rPr>
        <w:t>In the case of the Total Hasbro Plan, the financial performance metric must achieve threshold performance, or no award is payable under that metric before the performance scale is applied to the applicable metric. The failure of one financial metric to achieve threshold performance does not impact the other financial metric; provided, however, that for funding to occur at least one financial metric must achieve threshold performance.</w:t>
      </w:r>
    </w:p>
    <w:p>
      <w:pPr>
        <w:spacing w:after="0" w:line="203" w:lineRule="exact"/>
        <w:rPr>
          <w:sz w:val="20"/>
          <w:szCs w:val="20"/>
          <w:color w:val="auto"/>
        </w:rPr>
      </w:pPr>
    </w:p>
    <w:p>
      <w:pPr>
        <w:ind w:left="280" w:right="40" w:hanging="8"/>
        <w:spacing w:after="0" w:line="250" w:lineRule="auto"/>
        <w:rPr>
          <w:sz w:val="20"/>
          <w:szCs w:val="20"/>
          <w:color w:val="auto"/>
        </w:rPr>
      </w:pPr>
      <w:r>
        <w:rPr>
          <w:rFonts w:ascii="Times New Roman" w:cs="Times New Roman" w:eastAsia="Times New Roman" w:hAnsi="Times New Roman"/>
          <w:sz w:val="22"/>
          <w:szCs w:val="22"/>
          <w:color w:val="auto"/>
        </w:rPr>
        <w:t>In the case of the Business Unit Plans, both financial performance metrics must achieve at least threshold performance, or no award is payable for the Business Unit Financial Metrics Performance component of the respective Business Unit Plan.</w:t>
      </w:r>
    </w:p>
    <w:p>
      <w:pPr>
        <w:spacing w:after="0" w:line="3" w:lineRule="exact"/>
        <w:rPr>
          <w:sz w:val="20"/>
          <w:szCs w:val="20"/>
          <w:color w:val="auto"/>
        </w:rPr>
      </w:pPr>
    </w:p>
    <w:p>
      <w:pPr>
        <w:ind w:left="280" w:right="280" w:hanging="8"/>
        <w:spacing w:after="0" w:line="249" w:lineRule="auto"/>
        <w:rPr>
          <w:sz w:val="20"/>
          <w:szCs w:val="20"/>
          <w:color w:val="auto"/>
        </w:rPr>
      </w:pPr>
      <w:r>
        <w:rPr>
          <w:rFonts w:ascii="Times New Roman" w:cs="Times New Roman" w:eastAsia="Times New Roman" w:hAnsi="Times New Roman"/>
          <w:sz w:val="22"/>
          <w:szCs w:val="22"/>
          <w:color w:val="auto"/>
        </w:rPr>
        <w:t>The payout attributable to each performance metric (financial and strategic) will be weighted and added to arrive at the overall achievement which determines the funding pool.</w:t>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An illustrative example of the development of a funding pool for the Total Hasbro Plan is as follows:</w:t>
      </w:r>
    </w:p>
    <w:p>
      <w:pPr>
        <w:spacing w:after="0" w:line="4" w:lineRule="exact"/>
        <w:rPr>
          <w:sz w:val="20"/>
          <w:szCs w:val="20"/>
          <w:color w:val="auto"/>
        </w:rPr>
      </w:pPr>
    </w:p>
    <w:p>
      <w:pPr>
        <w:ind w:left="920" w:hanging="8"/>
        <w:spacing w:after="0" w:line="245" w:lineRule="auto"/>
        <w:rPr>
          <w:sz w:val="20"/>
          <w:szCs w:val="20"/>
          <w:color w:val="auto"/>
        </w:rPr>
      </w:pPr>
      <w:r>
        <w:rPr>
          <w:rFonts w:ascii="Times New Roman" w:cs="Times New Roman" w:eastAsia="Times New Roman" w:hAnsi="Times New Roman"/>
          <w:sz w:val="22"/>
          <w:szCs w:val="22"/>
          <w:color w:val="auto"/>
        </w:rPr>
        <w:t>If Total Hasbro achieves Net Revenue of 100% of target (which results in 100% funding) and Operating Profit Dollars of 90% of target (which results in 50% funding) and the Hasbro strategic scorecard achieves 95%, then the aggregate weighted achievement for the Total Hasbro Plan would be 79%, calculated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4420" w:type="dxa"/>
            <w:vAlign w:val="bottom"/>
            <w:vMerge w:val="restart"/>
            <w:shd w:val="clear" w:color="auto" w:fill="0070C0"/>
          </w:tcPr>
          <w:p>
            <w:pPr>
              <w:ind w:left="1920"/>
              <w:spacing w:after="0"/>
              <w:rPr>
                <w:sz w:val="20"/>
                <w:szCs w:val="20"/>
                <w:color w:val="auto"/>
              </w:rPr>
            </w:pPr>
            <w:r>
              <w:rPr>
                <w:rFonts w:ascii="Times New Roman" w:cs="Times New Roman" w:eastAsia="Times New Roman" w:hAnsi="Times New Roman"/>
                <w:sz w:val="20"/>
                <w:szCs w:val="20"/>
                <w:b w:val="1"/>
                <w:bCs w:val="1"/>
                <w:color w:val="FFFFFF"/>
              </w:rPr>
              <w:t>Metric</w:t>
            </w:r>
          </w:p>
        </w:tc>
        <w:tc>
          <w:tcPr>
            <w:tcW w:w="1240" w:type="dxa"/>
            <w:vAlign w:val="bottom"/>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Weight</w:t>
            </w:r>
          </w:p>
        </w:tc>
        <w:tc>
          <w:tcPr>
            <w:tcW w:w="600" w:type="dxa"/>
            <w:vAlign w:val="bottom"/>
            <w:shd w:val="clear" w:color="auto" w:fill="0070C0"/>
          </w:tcPr>
          <w:p>
            <w:pPr>
              <w:spacing w:after="0"/>
              <w:rPr>
                <w:sz w:val="24"/>
                <w:szCs w:val="24"/>
                <w:color w:val="auto"/>
              </w:rPr>
            </w:pPr>
          </w:p>
        </w:tc>
        <w:tc>
          <w:tcPr>
            <w:tcW w:w="1060" w:type="dxa"/>
            <w:vAlign w:val="bottom"/>
            <w:vMerge w:val="restart"/>
            <w:shd w:val="clear" w:color="auto" w:fill="0070C0"/>
          </w:tcPr>
          <w:p>
            <w:pPr>
              <w:ind w:left="200"/>
              <w:spacing w:after="0"/>
              <w:rPr>
                <w:sz w:val="20"/>
                <w:szCs w:val="20"/>
                <w:color w:val="auto"/>
              </w:rPr>
            </w:pPr>
            <w:r>
              <w:rPr>
                <w:rFonts w:ascii="Times New Roman" w:cs="Times New Roman" w:eastAsia="Times New Roman" w:hAnsi="Times New Roman"/>
                <w:sz w:val="20"/>
                <w:szCs w:val="20"/>
                <w:b w:val="1"/>
                <w:bCs w:val="1"/>
                <w:color w:val="FFFFFF"/>
              </w:rPr>
              <w:t>Result</w:t>
            </w:r>
          </w:p>
        </w:tc>
        <w:tc>
          <w:tcPr>
            <w:tcW w:w="800" w:type="dxa"/>
            <w:vAlign w:val="bottom"/>
            <w:shd w:val="clear" w:color="auto" w:fill="0070C0"/>
          </w:tcPr>
          <w:p>
            <w:pPr>
              <w:spacing w:after="0"/>
              <w:rPr>
                <w:sz w:val="24"/>
                <w:szCs w:val="24"/>
                <w:color w:val="auto"/>
              </w:rPr>
            </w:pPr>
          </w:p>
        </w:tc>
        <w:tc>
          <w:tcPr>
            <w:tcW w:w="1760" w:type="dxa"/>
            <w:vAlign w:val="bottom"/>
            <w:shd w:val="clear" w:color="auto" w:fill="0070C0"/>
          </w:tcPr>
          <w:p>
            <w:pPr>
              <w:jc w:val="center"/>
              <w:ind w:right="221"/>
              <w:spacing w:after="0"/>
              <w:rPr>
                <w:sz w:val="20"/>
                <w:szCs w:val="20"/>
                <w:color w:val="auto"/>
              </w:rPr>
            </w:pPr>
            <w:r>
              <w:rPr>
                <w:rFonts w:ascii="Times New Roman" w:cs="Times New Roman" w:eastAsia="Times New Roman" w:hAnsi="Times New Roman"/>
                <w:sz w:val="20"/>
                <w:szCs w:val="20"/>
                <w:b w:val="1"/>
                <w:bCs w:val="1"/>
                <w:color w:val="FFFFFF"/>
                <w:w w:val="97"/>
              </w:rPr>
              <w:t>Weighted</w:t>
            </w:r>
          </w:p>
        </w:tc>
        <w:tc>
          <w:tcPr>
            <w:tcW w:w="0" w:type="dxa"/>
            <w:vAlign w:val="bottom"/>
          </w:tcPr>
          <w:p>
            <w:pPr>
              <w:spacing w:after="0"/>
              <w:rPr>
                <w:sz w:val="1"/>
                <w:szCs w:val="1"/>
                <w:color w:val="auto"/>
              </w:rPr>
            </w:pPr>
          </w:p>
        </w:tc>
      </w:tr>
      <w:tr>
        <w:trPr>
          <w:trHeight w:val="127"/>
        </w:trPr>
        <w:tc>
          <w:tcPr>
            <w:tcW w:w="4420" w:type="dxa"/>
            <w:vAlign w:val="bottom"/>
            <w:vMerge w:val="continue"/>
            <w:shd w:val="clear" w:color="auto" w:fill="0070C0"/>
          </w:tcPr>
          <w:p>
            <w:pPr>
              <w:spacing w:after="0"/>
              <w:rPr>
                <w:sz w:val="11"/>
                <w:szCs w:val="11"/>
                <w:color w:val="auto"/>
              </w:rPr>
            </w:pPr>
          </w:p>
        </w:tc>
        <w:tc>
          <w:tcPr>
            <w:tcW w:w="1240" w:type="dxa"/>
            <w:vAlign w:val="bottom"/>
            <w:vMerge w:val="continue"/>
            <w:shd w:val="clear" w:color="auto" w:fill="0070C0"/>
          </w:tcPr>
          <w:p>
            <w:pPr>
              <w:spacing w:after="0"/>
              <w:rPr>
                <w:sz w:val="11"/>
                <w:szCs w:val="11"/>
                <w:color w:val="auto"/>
              </w:rPr>
            </w:pPr>
          </w:p>
        </w:tc>
        <w:tc>
          <w:tcPr>
            <w:tcW w:w="600" w:type="dxa"/>
            <w:vAlign w:val="bottom"/>
            <w:shd w:val="clear" w:color="auto" w:fill="0070C0"/>
          </w:tcPr>
          <w:p>
            <w:pPr>
              <w:spacing w:after="0"/>
              <w:rPr>
                <w:sz w:val="11"/>
                <w:szCs w:val="11"/>
                <w:color w:val="auto"/>
              </w:rPr>
            </w:pPr>
          </w:p>
        </w:tc>
        <w:tc>
          <w:tcPr>
            <w:tcW w:w="1060" w:type="dxa"/>
            <w:vAlign w:val="bottom"/>
            <w:vMerge w:val="continue"/>
            <w:shd w:val="clear" w:color="auto" w:fill="0070C0"/>
          </w:tcPr>
          <w:p>
            <w:pPr>
              <w:spacing w:after="0"/>
              <w:rPr>
                <w:sz w:val="11"/>
                <w:szCs w:val="11"/>
                <w:color w:val="auto"/>
              </w:rPr>
            </w:pPr>
          </w:p>
        </w:tc>
        <w:tc>
          <w:tcPr>
            <w:tcW w:w="800" w:type="dxa"/>
            <w:vAlign w:val="bottom"/>
            <w:shd w:val="clear" w:color="auto" w:fill="0070C0"/>
          </w:tcPr>
          <w:p>
            <w:pPr>
              <w:spacing w:after="0"/>
              <w:rPr>
                <w:sz w:val="11"/>
                <w:szCs w:val="11"/>
                <w:color w:val="auto"/>
              </w:rPr>
            </w:pPr>
          </w:p>
        </w:tc>
        <w:tc>
          <w:tcPr>
            <w:tcW w:w="1760" w:type="dxa"/>
            <w:vAlign w:val="bottom"/>
            <w:vMerge w:val="restart"/>
            <w:shd w:val="clear" w:color="auto" w:fill="0070C0"/>
          </w:tcPr>
          <w:p>
            <w:pPr>
              <w:jc w:val="center"/>
              <w:ind w:right="161"/>
              <w:spacing w:after="0"/>
              <w:rPr>
                <w:sz w:val="20"/>
                <w:szCs w:val="20"/>
                <w:color w:val="auto"/>
              </w:rPr>
            </w:pPr>
            <w:r>
              <w:rPr>
                <w:rFonts w:ascii="Times New Roman" w:cs="Times New Roman" w:eastAsia="Times New Roman" w:hAnsi="Times New Roman"/>
                <w:sz w:val="20"/>
                <w:szCs w:val="20"/>
                <w:b w:val="1"/>
                <w:bCs w:val="1"/>
                <w:color w:val="FFFFFF"/>
                <w:w w:val="99"/>
              </w:rPr>
              <w:t>Result</w:t>
            </w:r>
          </w:p>
        </w:tc>
        <w:tc>
          <w:tcPr>
            <w:tcW w:w="0" w:type="dxa"/>
            <w:vAlign w:val="bottom"/>
          </w:tcPr>
          <w:p>
            <w:pPr>
              <w:spacing w:after="0"/>
              <w:rPr>
                <w:sz w:val="1"/>
                <w:szCs w:val="1"/>
                <w:color w:val="auto"/>
              </w:rPr>
            </w:pPr>
          </w:p>
        </w:tc>
      </w:tr>
      <w:tr>
        <w:trPr>
          <w:trHeight w:val="149"/>
        </w:trPr>
        <w:tc>
          <w:tcPr>
            <w:tcW w:w="4420" w:type="dxa"/>
            <w:vAlign w:val="bottom"/>
            <w:tcBorders>
              <w:bottom w:val="single" w:sz="8" w:color="0070C0"/>
            </w:tcBorders>
            <w:shd w:val="clear" w:color="auto" w:fill="0070C0"/>
          </w:tcPr>
          <w:p>
            <w:pPr>
              <w:spacing w:after="0"/>
              <w:rPr>
                <w:sz w:val="13"/>
                <w:szCs w:val="13"/>
                <w:color w:val="auto"/>
              </w:rPr>
            </w:pPr>
          </w:p>
        </w:tc>
        <w:tc>
          <w:tcPr>
            <w:tcW w:w="1240" w:type="dxa"/>
            <w:vAlign w:val="bottom"/>
            <w:tcBorders>
              <w:bottom w:val="single" w:sz="8" w:color="0070C0"/>
            </w:tcBorders>
            <w:shd w:val="clear" w:color="auto" w:fill="0070C0"/>
          </w:tcPr>
          <w:p>
            <w:pPr>
              <w:spacing w:after="0"/>
              <w:rPr>
                <w:sz w:val="13"/>
                <w:szCs w:val="13"/>
                <w:color w:val="auto"/>
              </w:rPr>
            </w:pPr>
          </w:p>
        </w:tc>
        <w:tc>
          <w:tcPr>
            <w:tcW w:w="600" w:type="dxa"/>
            <w:vAlign w:val="bottom"/>
            <w:tcBorders>
              <w:bottom w:val="single" w:sz="8" w:color="0070C0"/>
            </w:tcBorders>
            <w:shd w:val="clear" w:color="auto" w:fill="0070C0"/>
          </w:tcPr>
          <w:p>
            <w:pPr>
              <w:spacing w:after="0"/>
              <w:rPr>
                <w:sz w:val="13"/>
                <w:szCs w:val="13"/>
                <w:color w:val="auto"/>
              </w:rPr>
            </w:pPr>
          </w:p>
        </w:tc>
        <w:tc>
          <w:tcPr>
            <w:tcW w:w="1060" w:type="dxa"/>
            <w:vAlign w:val="bottom"/>
            <w:tcBorders>
              <w:bottom w:val="single" w:sz="8" w:color="0070C0"/>
            </w:tcBorders>
            <w:shd w:val="clear" w:color="auto" w:fill="0070C0"/>
          </w:tcPr>
          <w:p>
            <w:pPr>
              <w:spacing w:after="0"/>
              <w:rPr>
                <w:sz w:val="13"/>
                <w:szCs w:val="13"/>
                <w:color w:val="auto"/>
              </w:rPr>
            </w:pPr>
          </w:p>
        </w:tc>
        <w:tc>
          <w:tcPr>
            <w:tcW w:w="800" w:type="dxa"/>
            <w:vAlign w:val="bottom"/>
            <w:tcBorders>
              <w:bottom w:val="single" w:sz="8" w:color="0070C0"/>
            </w:tcBorders>
            <w:shd w:val="clear" w:color="auto" w:fill="0070C0"/>
          </w:tcPr>
          <w:p>
            <w:pPr>
              <w:spacing w:after="0"/>
              <w:rPr>
                <w:sz w:val="13"/>
                <w:szCs w:val="13"/>
                <w:color w:val="auto"/>
              </w:rPr>
            </w:pPr>
          </w:p>
        </w:tc>
        <w:tc>
          <w:tcPr>
            <w:tcW w:w="1760" w:type="dxa"/>
            <w:vAlign w:val="bottom"/>
            <w:tcBorders>
              <w:bottom w:val="single" w:sz="8" w:color="0070C0"/>
            </w:tcBorders>
            <w:vMerge w:val="continue"/>
            <w:shd w:val="clear" w:color="auto" w:fill="0070C0"/>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color w:val="auto"/>
              </w:rPr>
              <w:t>Total Hasbro Net Revenue</w:t>
            </w:r>
          </w:p>
        </w:tc>
        <w:tc>
          <w:tcPr>
            <w:tcW w:w="1240" w:type="dxa"/>
            <w:vAlign w:val="bottom"/>
            <w:tcBorders>
              <w:bottom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600" w:type="dxa"/>
            <w:vAlign w:val="bottom"/>
            <w:tcBorders>
              <w:bottom w:val="single" w:sz="8" w:color="0070C0"/>
            </w:tcBorders>
          </w:tcPr>
          <w:p>
            <w:pPr>
              <w:ind w:left="300"/>
              <w:spacing w:after="0"/>
              <w:rPr>
                <w:sz w:val="20"/>
                <w:szCs w:val="20"/>
                <w:color w:val="auto"/>
              </w:rPr>
            </w:pPr>
            <w:r>
              <w:rPr>
                <w:rFonts w:ascii="Times New Roman" w:cs="Times New Roman" w:eastAsia="Times New Roman" w:hAnsi="Times New Roman"/>
                <w:sz w:val="22"/>
                <w:szCs w:val="22"/>
                <w:color w:val="auto"/>
              </w:rPr>
              <w:t>x</w:t>
            </w:r>
          </w:p>
        </w:tc>
        <w:tc>
          <w:tcPr>
            <w:tcW w:w="1060" w:type="dxa"/>
            <w:vAlign w:val="bottom"/>
            <w:tcBorders>
              <w:bottom w:val="single" w:sz="8" w:color="0070C0"/>
            </w:tcBorders>
          </w:tcPr>
          <w:p>
            <w:pPr>
              <w:jc w:val="center"/>
              <w:ind w:right="21"/>
              <w:spacing w:after="0"/>
              <w:rPr>
                <w:sz w:val="20"/>
                <w:szCs w:val="20"/>
                <w:color w:val="auto"/>
              </w:rPr>
            </w:pPr>
            <w:r>
              <w:rPr>
                <w:rFonts w:ascii="Times New Roman" w:cs="Times New Roman" w:eastAsia="Times New Roman" w:hAnsi="Times New Roman"/>
                <w:sz w:val="20"/>
                <w:szCs w:val="20"/>
                <w:color w:val="auto"/>
                <w:w w:val="98"/>
              </w:rPr>
              <w:t>100%</w:t>
            </w: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color w:val="auto"/>
              </w:rPr>
              <w:t>Total Hasbro Operating Profit Dollars</w:t>
            </w:r>
          </w:p>
        </w:tc>
        <w:tc>
          <w:tcPr>
            <w:tcW w:w="1240" w:type="dxa"/>
            <w:vAlign w:val="bottom"/>
            <w:tcBorders>
              <w:bottom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600" w:type="dxa"/>
            <w:vAlign w:val="bottom"/>
            <w:tcBorders>
              <w:bottom w:val="single" w:sz="8" w:color="0070C0"/>
            </w:tcBorders>
          </w:tcPr>
          <w:p>
            <w:pPr>
              <w:ind w:left="300"/>
              <w:spacing w:after="0"/>
              <w:rPr>
                <w:sz w:val="20"/>
                <w:szCs w:val="20"/>
                <w:color w:val="auto"/>
              </w:rPr>
            </w:pPr>
            <w:r>
              <w:rPr>
                <w:rFonts w:ascii="Times New Roman" w:cs="Times New Roman" w:eastAsia="Times New Roman" w:hAnsi="Times New Roman"/>
                <w:sz w:val="22"/>
                <w:szCs w:val="22"/>
                <w:color w:val="auto"/>
              </w:rPr>
              <w:t>x</w:t>
            </w:r>
          </w:p>
        </w:tc>
        <w:tc>
          <w:tcPr>
            <w:tcW w:w="1060" w:type="dxa"/>
            <w:vAlign w:val="bottom"/>
            <w:tcBorders>
              <w:bottom w:val="single" w:sz="8" w:color="0070C0"/>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50%</w:t>
            </w: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color w:val="auto"/>
              </w:rPr>
              <w:t>Hasbro Strategic Scorecard</w:t>
            </w:r>
          </w:p>
        </w:tc>
        <w:tc>
          <w:tcPr>
            <w:tcW w:w="1240" w:type="dxa"/>
            <w:vAlign w:val="bottom"/>
            <w:tcBorders>
              <w:bottom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c>
          <w:tcPr>
            <w:tcW w:w="600" w:type="dxa"/>
            <w:vAlign w:val="bottom"/>
            <w:tcBorders>
              <w:bottom w:val="single" w:sz="8" w:color="0070C0"/>
            </w:tcBorders>
          </w:tcPr>
          <w:p>
            <w:pPr>
              <w:ind w:left="300"/>
              <w:spacing w:after="0"/>
              <w:rPr>
                <w:sz w:val="20"/>
                <w:szCs w:val="20"/>
                <w:color w:val="auto"/>
              </w:rPr>
            </w:pPr>
            <w:r>
              <w:rPr>
                <w:rFonts w:ascii="Times New Roman" w:cs="Times New Roman" w:eastAsia="Times New Roman" w:hAnsi="Times New Roman"/>
                <w:sz w:val="22"/>
                <w:szCs w:val="22"/>
                <w:color w:val="auto"/>
              </w:rPr>
              <w:t>x</w:t>
            </w:r>
          </w:p>
        </w:tc>
        <w:tc>
          <w:tcPr>
            <w:tcW w:w="1060" w:type="dxa"/>
            <w:vAlign w:val="bottom"/>
            <w:tcBorders>
              <w:bottom w:val="single" w:sz="8" w:color="0070C0"/>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95%</w:t>
            </w: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Final Weighted PRP Performance Factor</w:t>
            </w:r>
          </w:p>
        </w:tc>
        <w:tc>
          <w:tcPr>
            <w:tcW w:w="1240" w:type="dxa"/>
            <w:vAlign w:val="bottom"/>
            <w:tcBorders>
              <w:bottom w:val="single" w:sz="8" w:color="0070C0"/>
            </w:tcBorders>
          </w:tcPr>
          <w:p>
            <w:pPr>
              <w:spacing w:after="0"/>
              <w:rPr>
                <w:sz w:val="24"/>
                <w:szCs w:val="24"/>
                <w:color w:val="auto"/>
              </w:rPr>
            </w:pPr>
          </w:p>
        </w:tc>
        <w:tc>
          <w:tcPr>
            <w:tcW w:w="600" w:type="dxa"/>
            <w:vAlign w:val="bottom"/>
            <w:tcBorders>
              <w:bottom w:val="single" w:sz="8" w:color="0070C0"/>
            </w:tcBorders>
          </w:tcPr>
          <w:p>
            <w:pPr>
              <w:spacing w:after="0"/>
              <w:rPr>
                <w:sz w:val="24"/>
                <w:szCs w:val="24"/>
                <w:color w:val="auto"/>
              </w:rPr>
            </w:pPr>
          </w:p>
        </w:tc>
        <w:tc>
          <w:tcPr>
            <w:tcW w:w="1060" w:type="dxa"/>
            <w:vAlign w:val="bottom"/>
            <w:tcBorders>
              <w:bottom w:val="single" w:sz="8" w:color="0070C0"/>
            </w:tcBorders>
          </w:tcPr>
          <w:p>
            <w:pPr>
              <w:spacing w:after="0"/>
              <w:rPr>
                <w:sz w:val="24"/>
                <w:szCs w:val="24"/>
                <w:color w:val="auto"/>
              </w:rPr>
            </w:pP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b w:val="1"/>
                <w:bCs w:val="1"/>
                <w:color w:val="auto"/>
                <w:w w:val="94"/>
              </w:rPr>
              <w:t>79%</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Illustrative examples of the development of a funding pool for the TGLE Business Unit Plan are as follows:</w:t>
      </w:r>
    </w:p>
    <w:p>
      <w:pPr>
        <w:spacing w:after="0" w:line="28" w:lineRule="exact"/>
        <w:rPr>
          <w:sz w:val="20"/>
          <w:szCs w:val="20"/>
          <w:color w:val="auto"/>
        </w:rPr>
      </w:pPr>
    </w:p>
    <w:p>
      <w:pPr>
        <w:ind w:left="920" w:right="20" w:hanging="8"/>
        <w:spacing w:after="0" w:line="246" w:lineRule="auto"/>
        <w:rPr>
          <w:sz w:val="20"/>
          <w:szCs w:val="20"/>
          <w:color w:val="auto"/>
        </w:rPr>
      </w:pPr>
      <w:r>
        <w:rPr>
          <w:rFonts w:ascii="Times New Roman" w:cs="Times New Roman" w:eastAsia="Times New Roman" w:hAnsi="Times New Roman"/>
          <w:sz w:val="22"/>
          <w:szCs w:val="22"/>
          <w:color w:val="auto"/>
        </w:rPr>
        <w:t>If the TGLE Business Unit achieves Net Revenue of 100% of target (which results in 100% funding) and Business Unit Operating Profit Dollars of 65% of target (which is below the 80% threshold), the Business Unit component of the respective Business Unit Plan will not fund (0% funding). In this scenario, the funding pool, if any, will be determined solely by the Hasbro Strategic Scorecard component of the Business Unit Plans.</w:t>
      </w:r>
    </w:p>
    <w:p>
      <w:pPr>
        <w:spacing w:after="0" w:line="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or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840"/>
          </w:cols>
          <w:pgMar w:left="700" w:top="774" w:right="359" w:bottom="1440" w:gutter="0" w:footer="0" w:header="0"/>
        </w:sectPr>
      </w:pPr>
    </w:p>
    <w:bookmarkStart w:id="55" w:name="page56"/>
    <w:bookmarkEnd w:id="55"/>
    <w:p>
      <w:pPr>
        <w:ind w:left="920" w:hanging="8"/>
        <w:spacing w:after="0" w:line="256" w:lineRule="auto"/>
        <w:rPr>
          <w:sz w:val="20"/>
          <w:szCs w:val="20"/>
          <w:color w:val="auto"/>
        </w:rPr>
      </w:pPr>
      <w:r>
        <w:rPr>
          <w:rFonts w:ascii="Times New Roman" w:cs="Times New Roman" w:eastAsia="Times New Roman" w:hAnsi="Times New Roman"/>
          <w:sz w:val="22"/>
          <w:szCs w:val="22"/>
          <w:color w:val="auto"/>
        </w:rPr>
        <w:t>If the TGLE Business Unit achieves Net Revenue of 90% of target (which results in 50% funding), and Operating Profit Dollars of 100% of target (which results in 100% funding), the aggregate weighted achievement for the Business Unit component of the TGLE Plan would be 60%, combined with the Hasbro Strategic Scorecard component (95% achievement), would be 79%, calculated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420" w:type="dxa"/>
            <w:vAlign w:val="bottom"/>
            <w:vMerge w:val="restart"/>
            <w:shd w:val="clear" w:color="auto" w:fill="0070C0"/>
          </w:tcPr>
          <w:p>
            <w:pPr>
              <w:ind w:left="1920"/>
              <w:spacing w:after="0"/>
              <w:rPr>
                <w:sz w:val="20"/>
                <w:szCs w:val="20"/>
                <w:color w:val="auto"/>
              </w:rPr>
            </w:pPr>
            <w:r>
              <w:rPr>
                <w:rFonts w:ascii="Times New Roman" w:cs="Times New Roman" w:eastAsia="Times New Roman" w:hAnsi="Times New Roman"/>
                <w:sz w:val="20"/>
                <w:szCs w:val="20"/>
                <w:b w:val="1"/>
                <w:bCs w:val="1"/>
                <w:color w:val="FFFFFF"/>
              </w:rPr>
              <w:t>Metric</w:t>
            </w:r>
          </w:p>
        </w:tc>
        <w:tc>
          <w:tcPr>
            <w:tcW w:w="1240" w:type="dxa"/>
            <w:vAlign w:val="bottom"/>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Weight</w:t>
            </w:r>
          </w:p>
        </w:tc>
        <w:tc>
          <w:tcPr>
            <w:tcW w:w="600" w:type="dxa"/>
            <w:vAlign w:val="bottom"/>
            <w:shd w:val="clear" w:color="auto" w:fill="0070C0"/>
          </w:tcPr>
          <w:p>
            <w:pPr>
              <w:spacing w:after="0"/>
              <w:rPr>
                <w:sz w:val="23"/>
                <w:szCs w:val="23"/>
                <w:color w:val="auto"/>
              </w:rPr>
            </w:pPr>
          </w:p>
        </w:tc>
        <w:tc>
          <w:tcPr>
            <w:tcW w:w="1060" w:type="dxa"/>
            <w:vAlign w:val="bottom"/>
            <w:vMerge w:val="restart"/>
            <w:shd w:val="clear" w:color="auto" w:fill="0070C0"/>
          </w:tcPr>
          <w:p>
            <w:pPr>
              <w:ind w:left="200"/>
              <w:spacing w:after="0"/>
              <w:rPr>
                <w:sz w:val="20"/>
                <w:szCs w:val="20"/>
                <w:color w:val="auto"/>
              </w:rPr>
            </w:pPr>
            <w:r>
              <w:rPr>
                <w:rFonts w:ascii="Times New Roman" w:cs="Times New Roman" w:eastAsia="Times New Roman" w:hAnsi="Times New Roman"/>
                <w:sz w:val="20"/>
                <w:szCs w:val="20"/>
                <w:b w:val="1"/>
                <w:bCs w:val="1"/>
                <w:color w:val="FFFFFF"/>
              </w:rPr>
              <w:t>Result</w:t>
            </w:r>
          </w:p>
        </w:tc>
        <w:tc>
          <w:tcPr>
            <w:tcW w:w="800" w:type="dxa"/>
            <w:vAlign w:val="bottom"/>
            <w:shd w:val="clear" w:color="auto" w:fill="0070C0"/>
          </w:tcPr>
          <w:p>
            <w:pPr>
              <w:spacing w:after="0"/>
              <w:rPr>
                <w:sz w:val="23"/>
                <w:szCs w:val="23"/>
                <w:color w:val="auto"/>
              </w:rPr>
            </w:pPr>
          </w:p>
        </w:tc>
        <w:tc>
          <w:tcPr>
            <w:tcW w:w="1760" w:type="dxa"/>
            <w:vAlign w:val="bottom"/>
            <w:shd w:val="clear" w:color="auto" w:fill="0070C0"/>
          </w:tcPr>
          <w:p>
            <w:pPr>
              <w:jc w:val="center"/>
              <w:ind w:right="221"/>
              <w:spacing w:after="0"/>
              <w:rPr>
                <w:sz w:val="20"/>
                <w:szCs w:val="20"/>
                <w:color w:val="auto"/>
              </w:rPr>
            </w:pPr>
            <w:r>
              <w:rPr>
                <w:rFonts w:ascii="Times New Roman" w:cs="Times New Roman" w:eastAsia="Times New Roman" w:hAnsi="Times New Roman"/>
                <w:sz w:val="20"/>
                <w:szCs w:val="20"/>
                <w:b w:val="1"/>
                <w:bCs w:val="1"/>
                <w:color w:val="FFFFFF"/>
                <w:w w:val="97"/>
              </w:rPr>
              <w:t>Weighted</w:t>
            </w:r>
          </w:p>
        </w:tc>
        <w:tc>
          <w:tcPr>
            <w:tcW w:w="0" w:type="dxa"/>
            <w:vAlign w:val="bottom"/>
          </w:tcPr>
          <w:p>
            <w:pPr>
              <w:spacing w:after="0"/>
              <w:rPr>
                <w:sz w:val="1"/>
                <w:szCs w:val="1"/>
                <w:color w:val="auto"/>
              </w:rPr>
            </w:pPr>
          </w:p>
        </w:tc>
      </w:tr>
      <w:tr>
        <w:trPr>
          <w:trHeight w:val="141"/>
        </w:trPr>
        <w:tc>
          <w:tcPr>
            <w:tcW w:w="4420" w:type="dxa"/>
            <w:vAlign w:val="bottom"/>
            <w:vMerge w:val="continue"/>
            <w:shd w:val="clear" w:color="auto" w:fill="0070C0"/>
          </w:tcPr>
          <w:p>
            <w:pPr>
              <w:spacing w:after="0"/>
              <w:rPr>
                <w:sz w:val="12"/>
                <w:szCs w:val="12"/>
                <w:color w:val="auto"/>
              </w:rPr>
            </w:pPr>
          </w:p>
        </w:tc>
        <w:tc>
          <w:tcPr>
            <w:tcW w:w="1240" w:type="dxa"/>
            <w:vAlign w:val="bottom"/>
            <w:vMerge w:val="continue"/>
            <w:shd w:val="clear" w:color="auto" w:fill="0070C0"/>
          </w:tcPr>
          <w:p>
            <w:pPr>
              <w:spacing w:after="0"/>
              <w:rPr>
                <w:sz w:val="12"/>
                <w:szCs w:val="12"/>
                <w:color w:val="auto"/>
              </w:rPr>
            </w:pPr>
          </w:p>
        </w:tc>
        <w:tc>
          <w:tcPr>
            <w:tcW w:w="600" w:type="dxa"/>
            <w:vAlign w:val="bottom"/>
            <w:shd w:val="clear" w:color="auto" w:fill="0070C0"/>
          </w:tcPr>
          <w:p>
            <w:pPr>
              <w:spacing w:after="0"/>
              <w:rPr>
                <w:sz w:val="12"/>
                <w:szCs w:val="12"/>
                <w:color w:val="auto"/>
              </w:rPr>
            </w:pPr>
          </w:p>
        </w:tc>
        <w:tc>
          <w:tcPr>
            <w:tcW w:w="1060" w:type="dxa"/>
            <w:vAlign w:val="bottom"/>
            <w:vMerge w:val="continue"/>
            <w:shd w:val="clear" w:color="auto" w:fill="0070C0"/>
          </w:tcPr>
          <w:p>
            <w:pPr>
              <w:spacing w:after="0"/>
              <w:rPr>
                <w:sz w:val="12"/>
                <w:szCs w:val="12"/>
                <w:color w:val="auto"/>
              </w:rPr>
            </w:pPr>
          </w:p>
        </w:tc>
        <w:tc>
          <w:tcPr>
            <w:tcW w:w="800" w:type="dxa"/>
            <w:vAlign w:val="bottom"/>
            <w:shd w:val="clear" w:color="auto" w:fill="0070C0"/>
          </w:tcPr>
          <w:p>
            <w:pPr>
              <w:spacing w:after="0"/>
              <w:rPr>
                <w:sz w:val="12"/>
                <w:szCs w:val="12"/>
                <w:color w:val="auto"/>
              </w:rPr>
            </w:pPr>
          </w:p>
        </w:tc>
        <w:tc>
          <w:tcPr>
            <w:tcW w:w="1760" w:type="dxa"/>
            <w:vAlign w:val="bottom"/>
            <w:vMerge w:val="restart"/>
            <w:shd w:val="clear" w:color="auto" w:fill="0070C0"/>
          </w:tcPr>
          <w:p>
            <w:pPr>
              <w:jc w:val="center"/>
              <w:ind w:right="161"/>
              <w:spacing w:after="0"/>
              <w:rPr>
                <w:sz w:val="20"/>
                <w:szCs w:val="20"/>
                <w:color w:val="auto"/>
              </w:rPr>
            </w:pPr>
            <w:r>
              <w:rPr>
                <w:rFonts w:ascii="Times New Roman" w:cs="Times New Roman" w:eastAsia="Times New Roman" w:hAnsi="Times New Roman"/>
                <w:sz w:val="20"/>
                <w:szCs w:val="20"/>
                <w:b w:val="1"/>
                <w:bCs w:val="1"/>
                <w:color w:val="FFFFFF"/>
                <w:w w:val="99"/>
              </w:rPr>
              <w:t>Result</w:t>
            </w:r>
          </w:p>
        </w:tc>
        <w:tc>
          <w:tcPr>
            <w:tcW w:w="0" w:type="dxa"/>
            <w:vAlign w:val="bottom"/>
          </w:tcPr>
          <w:p>
            <w:pPr>
              <w:spacing w:after="0"/>
              <w:rPr>
                <w:sz w:val="1"/>
                <w:szCs w:val="1"/>
                <w:color w:val="auto"/>
              </w:rPr>
            </w:pPr>
          </w:p>
        </w:tc>
      </w:tr>
      <w:tr>
        <w:trPr>
          <w:trHeight w:val="149"/>
        </w:trPr>
        <w:tc>
          <w:tcPr>
            <w:tcW w:w="4420" w:type="dxa"/>
            <w:vAlign w:val="bottom"/>
            <w:tcBorders>
              <w:bottom w:val="single" w:sz="8" w:color="0070C0"/>
            </w:tcBorders>
            <w:shd w:val="clear" w:color="auto" w:fill="0070C0"/>
          </w:tcPr>
          <w:p>
            <w:pPr>
              <w:spacing w:after="0"/>
              <w:rPr>
                <w:sz w:val="13"/>
                <w:szCs w:val="13"/>
                <w:color w:val="auto"/>
              </w:rPr>
            </w:pPr>
          </w:p>
        </w:tc>
        <w:tc>
          <w:tcPr>
            <w:tcW w:w="1240" w:type="dxa"/>
            <w:vAlign w:val="bottom"/>
            <w:tcBorders>
              <w:bottom w:val="single" w:sz="8" w:color="0070C0"/>
            </w:tcBorders>
            <w:shd w:val="clear" w:color="auto" w:fill="0070C0"/>
          </w:tcPr>
          <w:p>
            <w:pPr>
              <w:spacing w:after="0"/>
              <w:rPr>
                <w:sz w:val="13"/>
                <w:szCs w:val="13"/>
                <w:color w:val="auto"/>
              </w:rPr>
            </w:pPr>
          </w:p>
        </w:tc>
        <w:tc>
          <w:tcPr>
            <w:tcW w:w="600" w:type="dxa"/>
            <w:vAlign w:val="bottom"/>
            <w:tcBorders>
              <w:bottom w:val="single" w:sz="8" w:color="0070C0"/>
            </w:tcBorders>
            <w:shd w:val="clear" w:color="auto" w:fill="0070C0"/>
          </w:tcPr>
          <w:p>
            <w:pPr>
              <w:spacing w:after="0"/>
              <w:rPr>
                <w:sz w:val="13"/>
                <w:szCs w:val="13"/>
                <w:color w:val="auto"/>
              </w:rPr>
            </w:pPr>
          </w:p>
        </w:tc>
        <w:tc>
          <w:tcPr>
            <w:tcW w:w="1060" w:type="dxa"/>
            <w:vAlign w:val="bottom"/>
            <w:tcBorders>
              <w:bottom w:val="single" w:sz="8" w:color="0070C0"/>
            </w:tcBorders>
            <w:shd w:val="clear" w:color="auto" w:fill="0070C0"/>
          </w:tcPr>
          <w:p>
            <w:pPr>
              <w:spacing w:after="0"/>
              <w:rPr>
                <w:sz w:val="13"/>
                <w:szCs w:val="13"/>
                <w:color w:val="auto"/>
              </w:rPr>
            </w:pPr>
          </w:p>
        </w:tc>
        <w:tc>
          <w:tcPr>
            <w:tcW w:w="800" w:type="dxa"/>
            <w:vAlign w:val="bottom"/>
            <w:tcBorders>
              <w:bottom w:val="single" w:sz="8" w:color="0070C0"/>
            </w:tcBorders>
            <w:shd w:val="clear" w:color="auto" w:fill="0070C0"/>
          </w:tcPr>
          <w:p>
            <w:pPr>
              <w:spacing w:after="0"/>
              <w:rPr>
                <w:sz w:val="13"/>
                <w:szCs w:val="13"/>
                <w:color w:val="auto"/>
              </w:rPr>
            </w:pPr>
          </w:p>
        </w:tc>
        <w:tc>
          <w:tcPr>
            <w:tcW w:w="1760" w:type="dxa"/>
            <w:vAlign w:val="bottom"/>
            <w:tcBorders>
              <w:bottom w:val="single" w:sz="8" w:color="0070C0"/>
            </w:tcBorders>
            <w:vMerge w:val="continue"/>
            <w:shd w:val="clear" w:color="auto" w:fill="0070C0"/>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color w:val="auto"/>
              </w:rPr>
              <w:t>TGLE Net Revenue</w:t>
            </w:r>
          </w:p>
        </w:tc>
        <w:tc>
          <w:tcPr>
            <w:tcW w:w="1240" w:type="dxa"/>
            <w:vAlign w:val="bottom"/>
            <w:tcBorders>
              <w:bottom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600" w:type="dxa"/>
            <w:vAlign w:val="bottom"/>
            <w:tcBorders>
              <w:bottom w:val="single" w:sz="8" w:color="0070C0"/>
            </w:tcBorders>
          </w:tcPr>
          <w:p>
            <w:pPr>
              <w:ind w:left="300"/>
              <w:spacing w:after="0"/>
              <w:rPr>
                <w:sz w:val="20"/>
                <w:szCs w:val="20"/>
                <w:color w:val="auto"/>
              </w:rPr>
            </w:pPr>
            <w:r>
              <w:rPr>
                <w:rFonts w:ascii="Times New Roman" w:cs="Times New Roman" w:eastAsia="Times New Roman" w:hAnsi="Times New Roman"/>
                <w:sz w:val="22"/>
                <w:szCs w:val="22"/>
                <w:color w:val="auto"/>
              </w:rPr>
              <w:t>x</w:t>
            </w:r>
          </w:p>
        </w:tc>
        <w:tc>
          <w:tcPr>
            <w:tcW w:w="1060" w:type="dxa"/>
            <w:vAlign w:val="bottom"/>
            <w:tcBorders>
              <w:bottom w:val="single" w:sz="8" w:color="0070C0"/>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50%</w:t>
            </w: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color w:val="auto"/>
              </w:rPr>
              <w:t>TGLE Operating Profit Dollars</w:t>
            </w:r>
          </w:p>
        </w:tc>
        <w:tc>
          <w:tcPr>
            <w:tcW w:w="1240" w:type="dxa"/>
            <w:vAlign w:val="bottom"/>
            <w:tcBorders>
              <w:bottom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600" w:type="dxa"/>
            <w:vAlign w:val="bottom"/>
            <w:tcBorders>
              <w:bottom w:val="single" w:sz="8" w:color="0070C0"/>
            </w:tcBorders>
          </w:tcPr>
          <w:p>
            <w:pPr>
              <w:ind w:left="300"/>
              <w:spacing w:after="0"/>
              <w:rPr>
                <w:sz w:val="20"/>
                <w:szCs w:val="20"/>
                <w:color w:val="auto"/>
              </w:rPr>
            </w:pPr>
            <w:r>
              <w:rPr>
                <w:rFonts w:ascii="Times New Roman" w:cs="Times New Roman" w:eastAsia="Times New Roman" w:hAnsi="Times New Roman"/>
                <w:sz w:val="22"/>
                <w:szCs w:val="22"/>
                <w:color w:val="auto"/>
              </w:rPr>
              <w:t>x</w:t>
            </w:r>
          </w:p>
        </w:tc>
        <w:tc>
          <w:tcPr>
            <w:tcW w:w="1060" w:type="dxa"/>
            <w:vAlign w:val="bottom"/>
            <w:tcBorders>
              <w:bottom w:val="single" w:sz="8" w:color="0070C0"/>
            </w:tcBorders>
          </w:tcPr>
          <w:p>
            <w:pPr>
              <w:jc w:val="center"/>
              <w:ind w:right="21"/>
              <w:spacing w:after="0"/>
              <w:rPr>
                <w:sz w:val="20"/>
                <w:szCs w:val="20"/>
                <w:color w:val="auto"/>
              </w:rPr>
            </w:pPr>
            <w:r>
              <w:rPr>
                <w:rFonts w:ascii="Times New Roman" w:cs="Times New Roman" w:eastAsia="Times New Roman" w:hAnsi="Times New Roman"/>
                <w:sz w:val="20"/>
                <w:szCs w:val="20"/>
                <w:color w:val="auto"/>
                <w:w w:val="98"/>
              </w:rPr>
              <w:t>100%</w:t>
            </w: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color w:val="auto"/>
              </w:rPr>
              <w:t>Hasbro Strategic Scorecard</w:t>
            </w:r>
          </w:p>
        </w:tc>
        <w:tc>
          <w:tcPr>
            <w:tcW w:w="1240" w:type="dxa"/>
            <w:vAlign w:val="bottom"/>
            <w:tcBorders>
              <w:bottom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c>
          <w:tcPr>
            <w:tcW w:w="600" w:type="dxa"/>
            <w:vAlign w:val="bottom"/>
            <w:tcBorders>
              <w:bottom w:val="single" w:sz="8" w:color="0070C0"/>
            </w:tcBorders>
          </w:tcPr>
          <w:p>
            <w:pPr>
              <w:ind w:left="300"/>
              <w:spacing w:after="0"/>
              <w:rPr>
                <w:sz w:val="20"/>
                <w:szCs w:val="20"/>
                <w:color w:val="auto"/>
              </w:rPr>
            </w:pPr>
            <w:r>
              <w:rPr>
                <w:rFonts w:ascii="Times New Roman" w:cs="Times New Roman" w:eastAsia="Times New Roman" w:hAnsi="Times New Roman"/>
                <w:sz w:val="22"/>
                <w:szCs w:val="22"/>
                <w:color w:val="auto"/>
              </w:rPr>
              <w:t>x</w:t>
            </w:r>
          </w:p>
        </w:tc>
        <w:tc>
          <w:tcPr>
            <w:tcW w:w="1060" w:type="dxa"/>
            <w:vAlign w:val="bottom"/>
            <w:tcBorders>
              <w:bottom w:val="single" w:sz="8" w:color="0070C0"/>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95%</w:t>
            </w: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Final Weighted PRP Performance Factor</w:t>
            </w:r>
          </w:p>
        </w:tc>
        <w:tc>
          <w:tcPr>
            <w:tcW w:w="1240" w:type="dxa"/>
            <w:vAlign w:val="bottom"/>
            <w:tcBorders>
              <w:bottom w:val="single" w:sz="8" w:color="0070C0"/>
            </w:tcBorders>
          </w:tcPr>
          <w:p>
            <w:pPr>
              <w:spacing w:after="0"/>
              <w:rPr>
                <w:sz w:val="24"/>
                <w:szCs w:val="24"/>
                <w:color w:val="auto"/>
              </w:rPr>
            </w:pPr>
          </w:p>
        </w:tc>
        <w:tc>
          <w:tcPr>
            <w:tcW w:w="600" w:type="dxa"/>
            <w:vAlign w:val="bottom"/>
            <w:tcBorders>
              <w:bottom w:val="single" w:sz="8" w:color="0070C0"/>
            </w:tcBorders>
          </w:tcPr>
          <w:p>
            <w:pPr>
              <w:spacing w:after="0"/>
              <w:rPr>
                <w:sz w:val="24"/>
                <w:szCs w:val="24"/>
                <w:color w:val="auto"/>
              </w:rPr>
            </w:pPr>
          </w:p>
        </w:tc>
        <w:tc>
          <w:tcPr>
            <w:tcW w:w="1060" w:type="dxa"/>
            <w:vAlign w:val="bottom"/>
            <w:tcBorders>
              <w:bottom w:val="single" w:sz="8" w:color="0070C0"/>
            </w:tcBorders>
          </w:tcPr>
          <w:p>
            <w:pPr>
              <w:spacing w:after="0"/>
              <w:rPr>
                <w:sz w:val="24"/>
                <w:szCs w:val="24"/>
                <w:color w:val="auto"/>
              </w:rPr>
            </w:pP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b w:val="1"/>
                <w:bCs w:val="1"/>
                <w:color w:val="auto"/>
                <w:w w:val="94"/>
              </w:rPr>
              <w:t>79%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920" w:right="60"/>
        <w:spacing w:after="0" w:line="256" w:lineRule="auto"/>
        <w:rPr>
          <w:sz w:val="20"/>
          <w:szCs w:val="20"/>
          <w:color w:val="auto"/>
        </w:rPr>
      </w:pPr>
      <w:r>
        <w:rPr>
          <w:rFonts w:ascii="Times New Roman" w:cs="Times New Roman" w:eastAsia="Times New Roman" w:hAnsi="Times New Roman"/>
          <w:sz w:val="22"/>
          <w:szCs w:val="22"/>
          <w:color w:val="auto"/>
        </w:rPr>
        <w:t>If the WOTC Business Unit achieves Net Revenue of 100% of target (which results in 100% funding), and Operating Profit Dollars of 115% of target (which results in 200% funding), the aggregate weighted achievement for the Business Unit component of the WOTC Plan would be 120%, combined with the Hasbro Strategic Scorecard component (95% achievement), would be 139%, calculated as follows: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20" w:type="dxa"/>
            <w:vAlign w:val="bottom"/>
            <w:vMerge w:val="restart"/>
            <w:shd w:val="clear" w:color="auto" w:fill="0070C0"/>
          </w:tcPr>
          <w:p>
            <w:pPr>
              <w:ind w:left="1920"/>
              <w:spacing w:after="0"/>
              <w:rPr>
                <w:sz w:val="20"/>
                <w:szCs w:val="20"/>
                <w:color w:val="auto"/>
              </w:rPr>
            </w:pPr>
            <w:r>
              <w:rPr>
                <w:rFonts w:ascii="Times New Roman" w:cs="Times New Roman" w:eastAsia="Times New Roman" w:hAnsi="Times New Roman"/>
                <w:sz w:val="20"/>
                <w:szCs w:val="20"/>
                <w:b w:val="1"/>
                <w:bCs w:val="1"/>
                <w:color w:val="FFFFFF"/>
              </w:rPr>
              <w:t>Metric</w:t>
            </w:r>
          </w:p>
        </w:tc>
        <w:tc>
          <w:tcPr>
            <w:tcW w:w="1240" w:type="dxa"/>
            <w:vAlign w:val="bottom"/>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Weight</w:t>
            </w:r>
          </w:p>
        </w:tc>
        <w:tc>
          <w:tcPr>
            <w:tcW w:w="600" w:type="dxa"/>
            <w:vAlign w:val="bottom"/>
            <w:shd w:val="clear" w:color="auto" w:fill="0070C0"/>
          </w:tcPr>
          <w:p>
            <w:pPr>
              <w:spacing w:after="0"/>
              <w:rPr>
                <w:sz w:val="23"/>
                <w:szCs w:val="23"/>
                <w:color w:val="auto"/>
              </w:rPr>
            </w:pPr>
          </w:p>
        </w:tc>
        <w:tc>
          <w:tcPr>
            <w:tcW w:w="1060" w:type="dxa"/>
            <w:vAlign w:val="bottom"/>
            <w:vMerge w:val="restart"/>
            <w:shd w:val="clear" w:color="auto" w:fill="0070C0"/>
          </w:tcPr>
          <w:p>
            <w:pPr>
              <w:ind w:left="200"/>
              <w:spacing w:after="0"/>
              <w:rPr>
                <w:sz w:val="20"/>
                <w:szCs w:val="20"/>
                <w:color w:val="auto"/>
              </w:rPr>
            </w:pPr>
            <w:r>
              <w:rPr>
                <w:rFonts w:ascii="Times New Roman" w:cs="Times New Roman" w:eastAsia="Times New Roman" w:hAnsi="Times New Roman"/>
                <w:sz w:val="20"/>
                <w:szCs w:val="20"/>
                <w:b w:val="1"/>
                <w:bCs w:val="1"/>
                <w:color w:val="FFFFFF"/>
              </w:rPr>
              <w:t>Result</w:t>
            </w:r>
          </w:p>
        </w:tc>
        <w:tc>
          <w:tcPr>
            <w:tcW w:w="800" w:type="dxa"/>
            <w:vAlign w:val="bottom"/>
            <w:shd w:val="clear" w:color="auto" w:fill="0070C0"/>
          </w:tcPr>
          <w:p>
            <w:pPr>
              <w:spacing w:after="0"/>
              <w:rPr>
                <w:sz w:val="23"/>
                <w:szCs w:val="23"/>
                <w:color w:val="auto"/>
              </w:rPr>
            </w:pPr>
          </w:p>
        </w:tc>
        <w:tc>
          <w:tcPr>
            <w:tcW w:w="1760" w:type="dxa"/>
            <w:vAlign w:val="bottom"/>
            <w:shd w:val="clear" w:color="auto" w:fill="0070C0"/>
          </w:tcPr>
          <w:p>
            <w:pPr>
              <w:jc w:val="center"/>
              <w:ind w:right="221"/>
              <w:spacing w:after="0"/>
              <w:rPr>
                <w:sz w:val="20"/>
                <w:szCs w:val="20"/>
                <w:color w:val="auto"/>
              </w:rPr>
            </w:pPr>
            <w:r>
              <w:rPr>
                <w:rFonts w:ascii="Times New Roman" w:cs="Times New Roman" w:eastAsia="Times New Roman" w:hAnsi="Times New Roman"/>
                <w:sz w:val="20"/>
                <w:szCs w:val="20"/>
                <w:b w:val="1"/>
                <w:bCs w:val="1"/>
                <w:color w:val="FFFFFF"/>
                <w:w w:val="97"/>
              </w:rPr>
              <w:t>Weighted</w:t>
            </w:r>
          </w:p>
        </w:tc>
        <w:tc>
          <w:tcPr>
            <w:tcW w:w="0" w:type="dxa"/>
            <w:vAlign w:val="bottom"/>
          </w:tcPr>
          <w:p>
            <w:pPr>
              <w:spacing w:after="0"/>
              <w:rPr>
                <w:sz w:val="1"/>
                <w:szCs w:val="1"/>
                <w:color w:val="auto"/>
              </w:rPr>
            </w:pPr>
          </w:p>
        </w:tc>
      </w:tr>
      <w:tr>
        <w:trPr>
          <w:trHeight w:val="141"/>
        </w:trPr>
        <w:tc>
          <w:tcPr>
            <w:tcW w:w="4420" w:type="dxa"/>
            <w:vAlign w:val="bottom"/>
            <w:vMerge w:val="continue"/>
            <w:shd w:val="clear" w:color="auto" w:fill="0070C0"/>
          </w:tcPr>
          <w:p>
            <w:pPr>
              <w:spacing w:after="0"/>
              <w:rPr>
                <w:sz w:val="12"/>
                <w:szCs w:val="12"/>
                <w:color w:val="auto"/>
              </w:rPr>
            </w:pPr>
          </w:p>
        </w:tc>
        <w:tc>
          <w:tcPr>
            <w:tcW w:w="1240" w:type="dxa"/>
            <w:vAlign w:val="bottom"/>
            <w:vMerge w:val="continue"/>
            <w:shd w:val="clear" w:color="auto" w:fill="0070C0"/>
          </w:tcPr>
          <w:p>
            <w:pPr>
              <w:spacing w:after="0"/>
              <w:rPr>
                <w:sz w:val="12"/>
                <w:szCs w:val="12"/>
                <w:color w:val="auto"/>
              </w:rPr>
            </w:pPr>
          </w:p>
        </w:tc>
        <w:tc>
          <w:tcPr>
            <w:tcW w:w="600" w:type="dxa"/>
            <w:vAlign w:val="bottom"/>
            <w:shd w:val="clear" w:color="auto" w:fill="0070C0"/>
          </w:tcPr>
          <w:p>
            <w:pPr>
              <w:spacing w:after="0"/>
              <w:rPr>
                <w:sz w:val="12"/>
                <w:szCs w:val="12"/>
                <w:color w:val="auto"/>
              </w:rPr>
            </w:pPr>
          </w:p>
        </w:tc>
        <w:tc>
          <w:tcPr>
            <w:tcW w:w="1060" w:type="dxa"/>
            <w:vAlign w:val="bottom"/>
            <w:vMerge w:val="continue"/>
            <w:shd w:val="clear" w:color="auto" w:fill="0070C0"/>
          </w:tcPr>
          <w:p>
            <w:pPr>
              <w:spacing w:after="0"/>
              <w:rPr>
                <w:sz w:val="12"/>
                <w:szCs w:val="12"/>
                <w:color w:val="auto"/>
              </w:rPr>
            </w:pPr>
          </w:p>
        </w:tc>
        <w:tc>
          <w:tcPr>
            <w:tcW w:w="800" w:type="dxa"/>
            <w:vAlign w:val="bottom"/>
            <w:shd w:val="clear" w:color="auto" w:fill="0070C0"/>
          </w:tcPr>
          <w:p>
            <w:pPr>
              <w:spacing w:after="0"/>
              <w:rPr>
                <w:sz w:val="12"/>
                <w:szCs w:val="12"/>
                <w:color w:val="auto"/>
              </w:rPr>
            </w:pPr>
          </w:p>
        </w:tc>
        <w:tc>
          <w:tcPr>
            <w:tcW w:w="1760" w:type="dxa"/>
            <w:vAlign w:val="bottom"/>
            <w:vMerge w:val="restart"/>
            <w:shd w:val="clear" w:color="auto" w:fill="0070C0"/>
          </w:tcPr>
          <w:p>
            <w:pPr>
              <w:jc w:val="center"/>
              <w:ind w:right="161"/>
              <w:spacing w:after="0"/>
              <w:rPr>
                <w:sz w:val="20"/>
                <w:szCs w:val="20"/>
                <w:color w:val="auto"/>
              </w:rPr>
            </w:pPr>
            <w:r>
              <w:rPr>
                <w:rFonts w:ascii="Times New Roman" w:cs="Times New Roman" w:eastAsia="Times New Roman" w:hAnsi="Times New Roman"/>
                <w:sz w:val="20"/>
                <w:szCs w:val="20"/>
                <w:b w:val="1"/>
                <w:bCs w:val="1"/>
                <w:color w:val="FFFFFF"/>
                <w:w w:val="99"/>
              </w:rPr>
              <w:t>Result</w:t>
            </w:r>
          </w:p>
        </w:tc>
        <w:tc>
          <w:tcPr>
            <w:tcW w:w="0" w:type="dxa"/>
            <w:vAlign w:val="bottom"/>
          </w:tcPr>
          <w:p>
            <w:pPr>
              <w:spacing w:after="0"/>
              <w:rPr>
                <w:sz w:val="1"/>
                <w:szCs w:val="1"/>
                <w:color w:val="auto"/>
              </w:rPr>
            </w:pPr>
          </w:p>
        </w:tc>
      </w:tr>
      <w:tr>
        <w:trPr>
          <w:trHeight w:val="149"/>
        </w:trPr>
        <w:tc>
          <w:tcPr>
            <w:tcW w:w="4420" w:type="dxa"/>
            <w:vAlign w:val="bottom"/>
            <w:tcBorders>
              <w:bottom w:val="single" w:sz="8" w:color="0070C0"/>
            </w:tcBorders>
            <w:shd w:val="clear" w:color="auto" w:fill="0070C0"/>
          </w:tcPr>
          <w:p>
            <w:pPr>
              <w:spacing w:after="0"/>
              <w:rPr>
                <w:sz w:val="13"/>
                <w:szCs w:val="13"/>
                <w:color w:val="auto"/>
              </w:rPr>
            </w:pPr>
          </w:p>
        </w:tc>
        <w:tc>
          <w:tcPr>
            <w:tcW w:w="1240" w:type="dxa"/>
            <w:vAlign w:val="bottom"/>
            <w:tcBorders>
              <w:bottom w:val="single" w:sz="8" w:color="0070C0"/>
            </w:tcBorders>
            <w:shd w:val="clear" w:color="auto" w:fill="0070C0"/>
          </w:tcPr>
          <w:p>
            <w:pPr>
              <w:spacing w:after="0"/>
              <w:rPr>
                <w:sz w:val="13"/>
                <w:szCs w:val="13"/>
                <w:color w:val="auto"/>
              </w:rPr>
            </w:pPr>
          </w:p>
        </w:tc>
        <w:tc>
          <w:tcPr>
            <w:tcW w:w="600" w:type="dxa"/>
            <w:vAlign w:val="bottom"/>
            <w:tcBorders>
              <w:bottom w:val="single" w:sz="8" w:color="0070C0"/>
            </w:tcBorders>
            <w:shd w:val="clear" w:color="auto" w:fill="0070C0"/>
          </w:tcPr>
          <w:p>
            <w:pPr>
              <w:spacing w:after="0"/>
              <w:rPr>
                <w:sz w:val="13"/>
                <w:szCs w:val="13"/>
                <w:color w:val="auto"/>
              </w:rPr>
            </w:pPr>
          </w:p>
        </w:tc>
        <w:tc>
          <w:tcPr>
            <w:tcW w:w="1060" w:type="dxa"/>
            <w:vAlign w:val="bottom"/>
            <w:tcBorders>
              <w:bottom w:val="single" w:sz="8" w:color="0070C0"/>
            </w:tcBorders>
            <w:shd w:val="clear" w:color="auto" w:fill="0070C0"/>
          </w:tcPr>
          <w:p>
            <w:pPr>
              <w:spacing w:after="0"/>
              <w:rPr>
                <w:sz w:val="13"/>
                <w:szCs w:val="13"/>
                <w:color w:val="auto"/>
              </w:rPr>
            </w:pPr>
          </w:p>
        </w:tc>
        <w:tc>
          <w:tcPr>
            <w:tcW w:w="800" w:type="dxa"/>
            <w:vAlign w:val="bottom"/>
            <w:tcBorders>
              <w:bottom w:val="single" w:sz="8" w:color="0070C0"/>
            </w:tcBorders>
            <w:shd w:val="clear" w:color="auto" w:fill="0070C0"/>
          </w:tcPr>
          <w:p>
            <w:pPr>
              <w:spacing w:after="0"/>
              <w:rPr>
                <w:sz w:val="13"/>
                <w:szCs w:val="13"/>
                <w:color w:val="auto"/>
              </w:rPr>
            </w:pPr>
          </w:p>
        </w:tc>
        <w:tc>
          <w:tcPr>
            <w:tcW w:w="1760" w:type="dxa"/>
            <w:vAlign w:val="bottom"/>
            <w:tcBorders>
              <w:bottom w:val="single" w:sz="8" w:color="0070C0"/>
            </w:tcBorders>
            <w:vMerge w:val="continue"/>
            <w:shd w:val="clear" w:color="auto" w:fill="0070C0"/>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color w:val="auto"/>
              </w:rPr>
              <w:t>WOTC Net Revenue</w:t>
            </w:r>
          </w:p>
        </w:tc>
        <w:tc>
          <w:tcPr>
            <w:tcW w:w="1240" w:type="dxa"/>
            <w:vAlign w:val="bottom"/>
            <w:tcBorders>
              <w:bottom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600" w:type="dxa"/>
            <w:vAlign w:val="bottom"/>
            <w:tcBorders>
              <w:bottom w:val="single" w:sz="8" w:color="0070C0"/>
            </w:tcBorders>
          </w:tcPr>
          <w:p>
            <w:pPr>
              <w:ind w:left="300"/>
              <w:spacing w:after="0"/>
              <w:rPr>
                <w:sz w:val="20"/>
                <w:szCs w:val="20"/>
                <w:color w:val="auto"/>
              </w:rPr>
            </w:pPr>
            <w:r>
              <w:rPr>
                <w:rFonts w:ascii="Times New Roman" w:cs="Times New Roman" w:eastAsia="Times New Roman" w:hAnsi="Times New Roman"/>
                <w:sz w:val="22"/>
                <w:szCs w:val="22"/>
                <w:color w:val="auto"/>
              </w:rPr>
              <w:t>x</w:t>
            </w:r>
          </w:p>
        </w:tc>
        <w:tc>
          <w:tcPr>
            <w:tcW w:w="1060" w:type="dxa"/>
            <w:vAlign w:val="bottom"/>
            <w:tcBorders>
              <w:bottom w:val="single" w:sz="8" w:color="0070C0"/>
            </w:tcBorders>
          </w:tcPr>
          <w:p>
            <w:pPr>
              <w:jc w:val="center"/>
              <w:ind w:right="21"/>
              <w:spacing w:after="0"/>
              <w:rPr>
                <w:sz w:val="20"/>
                <w:szCs w:val="20"/>
                <w:color w:val="auto"/>
              </w:rPr>
            </w:pPr>
            <w:r>
              <w:rPr>
                <w:rFonts w:ascii="Times New Roman" w:cs="Times New Roman" w:eastAsia="Times New Roman" w:hAnsi="Times New Roman"/>
                <w:sz w:val="20"/>
                <w:szCs w:val="20"/>
                <w:color w:val="auto"/>
                <w:w w:val="98"/>
              </w:rPr>
              <w:t>100%</w:t>
            </w: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color w:val="auto"/>
              </w:rPr>
              <w:t>WOTC Operating Profit Dollars</w:t>
            </w:r>
          </w:p>
        </w:tc>
        <w:tc>
          <w:tcPr>
            <w:tcW w:w="1240" w:type="dxa"/>
            <w:vAlign w:val="bottom"/>
            <w:tcBorders>
              <w:bottom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600" w:type="dxa"/>
            <w:vAlign w:val="bottom"/>
            <w:tcBorders>
              <w:bottom w:val="single" w:sz="8" w:color="0070C0"/>
            </w:tcBorders>
          </w:tcPr>
          <w:p>
            <w:pPr>
              <w:ind w:left="300"/>
              <w:spacing w:after="0"/>
              <w:rPr>
                <w:sz w:val="20"/>
                <w:szCs w:val="20"/>
                <w:color w:val="auto"/>
              </w:rPr>
            </w:pPr>
            <w:r>
              <w:rPr>
                <w:rFonts w:ascii="Times New Roman" w:cs="Times New Roman" w:eastAsia="Times New Roman" w:hAnsi="Times New Roman"/>
                <w:sz w:val="22"/>
                <w:szCs w:val="22"/>
                <w:color w:val="auto"/>
              </w:rPr>
              <w:t>x</w:t>
            </w:r>
          </w:p>
        </w:tc>
        <w:tc>
          <w:tcPr>
            <w:tcW w:w="1060" w:type="dxa"/>
            <w:vAlign w:val="bottom"/>
            <w:tcBorders>
              <w:bottom w:val="single" w:sz="8" w:color="0070C0"/>
            </w:tcBorders>
          </w:tcPr>
          <w:p>
            <w:pPr>
              <w:jc w:val="center"/>
              <w:ind w:right="21"/>
              <w:spacing w:after="0"/>
              <w:rPr>
                <w:sz w:val="20"/>
                <w:szCs w:val="20"/>
                <w:color w:val="auto"/>
              </w:rPr>
            </w:pPr>
            <w:r>
              <w:rPr>
                <w:rFonts w:ascii="Times New Roman" w:cs="Times New Roman" w:eastAsia="Times New Roman" w:hAnsi="Times New Roman"/>
                <w:sz w:val="20"/>
                <w:szCs w:val="20"/>
                <w:color w:val="auto"/>
                <w:w w:val="98"/>
              </w:rPr>
              <w:t>200%</w:t>
            </w: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color w:val="auto"/>
              </w:rPr>
              <w:t>Hasbro Strategic Scorecard</w:t>
            </w:r>
          </w:p>
        </w:tc>
        <w:tc>
          <w:tcPr>
            <w:tcW w:w="1240" w:type="dxa"/>
            <w:vAlign w:val="bottom"/>
            <w:tcBorders>
              <w:bottom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c>
          <w:tcPr>
            <w:tcW w:w="600" w:type="dxa"/>
            <w:vAlign w:val="bottom"/>
            <w:tcBorders>
              <w:bottom w:val="single" w:sz="8" w:color="0070C0"/>
            </w:tcBorders>
          </w:tcPr>
          <w:p>
            <w:pPr>
              <w:ind w:left="300"/>
              <w:spacing w:after="0"/>
              <w:rPr>
                <w:sz w:val="20"/>
                <w:szCs w:val="20"/>
                <w:color w:val="auto"/>
              </w:rPr>
            </w:pPr>
            <w:r>
              <w:rPr>
                <w:rFonts w:ascii="Times New Roman" w:cs="Times New Roman" w:eastAsia="Times New Roman" w:hAnsi="Times New Roman"/>
                <w:sz w:val="22"/>
                <w:szCs w:val="22"/>
                <w:color w:val="auto"/>
              </w:rPr>
              <w:t>x</w:t>
            </w:r>
          </w:p>
        </w:tc>
        <w:tc>
          <w:tcPr>
            <w:tcW w:w="1060" w:type="dxa"/>
            <w:vAlign w:val="bottom"/>
            <w:tcBorders>
              <w:bottom w:val="single" w:sz="8" w:color="0070C0"/>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95%</w:t>
            </w: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Final Weighted PRP Performance Factor</w:t>
            </w:r>
          </w:p>
        </w:tc>
        <w:tc>
          <w:tcPr>
            <w:tcW w:w="1240" w:type="dxa"/>
            <w:vAlign w:val="bottom"/>
            <w:tcBorders>
              <w:bottom w:val="single" w:sz="8" w:color="0070C0"/>
            </w:tcBorders>
          </w:tcPr>
          <w:p>
            <w:pPr>
              <w:spacing w:after="0"/>
              <w:rPr>
                <w:sz w:val="24"/>
                <w:szCs w:val="24"/>
                <w:color w:val="auto"/>
              </w:rPr>
            </w:pPr>
          </w:p>
        </w:tc>
        <w:tc>
          <w:tcPr>
            <w:tcW w:w="600" w:type="dxa"/>
            <w:vAlign w:val="bottom"/>
            <w:tcBorders>
              <w:bottom w:val="single" w:sz="8" w:color="0070C0"/>
            </w:tcBorders>
          </w:tcPr>
          <w:p>
            <w:pPr>
              <w:spacing w:after="0"/>
              <w:rPr>
                <w:sz w:val="24"/>
                <w:szCs w:val="24"/>
                <w:color w:val="auto"/>
              </w:rPr>
            </w:pPr>
          </w:p>
        </w:tc>
        <w:tc>
          <w:tcPr>
            <w:tcW w:w="1060" w:type="dxa"/>
            <w:vAlign w:val="bottom"/>
            <w:tcBorders>
              <w:bottom w:val="single" w:sz="8" w:color="0070C0"/>
            </w:tcBorders>
          </w:tcPr>
          <w:p>
            <w:pPr>
              <w:spacing w:after="0"/>
              <w:rPr>
                <w:sz w:val="24"/>
                <w:szCs w:val="24"/>
                <w:color w:val="auto"/>
              </w:rPr>
            </w:pP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b w:val="1"/>
                <w:bCs w:val="1"/>
                <w:color w:val="auto"/>
                <w:w w:val="99"/>
              </w:rPr>
              <w:t>139%</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920" w:right="60" w:hanging="8"/>
        <w:spacing w:after="0" w:line="252" w:lineRule="auto"/>
        <w:rPr>
          <w:sz w:val="20"/>
          <w:szCs w:val="20"/>
          <w:color w:val="auto"/>
        </w:rPr>
      </w:pPr>
      <w:r>
        <w:rPr>
          <w:rFonts w:ascii="Times New Roman" w:cs="Times New Roman" w:eastAsia="Times New Roman" w:hAnsi="Times New Roman"/>
          <w:sz w:val="22"/>
          <w:szCs w:val="22"/>
          <w:color w:val="auto"/>
        </w:rPr>
        <w:t>If the Commercial Business Unit achieves Net Revenue of 125% of target (which results in 300% funding), and Operating Profit Dollars of 100% of target (which results in 100% funding), the aggregate weighted achievement for the Business Unit component of the Commercial Plan would be 160%, combined with the Hasbro Strategic Scorecard component (95% achievement), would be 179%,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760"/>
          </w:cols>
          <w:pgMar w:left="700" w:top="774" w:right="439" w:bottom="1440" w:gutter="0" w:footer="0" w:header="0"/>
        </w:sectPr>
      </w:pPr>
    </w:p>
    <w:bookmarkStart w:id="56" w:name="page57"/>
    <w:bookmarkEnd w:id="56"/>
    <w:tbl>
      <w:tblPr>
        <w:tblLayout w:type="fixed"/>
        <w:tblInd w:w="180" w:type="dxa"/>
        <w:tblCellMar>
          <w:top w:w="0" w:type="dxa"/>
          <w:left w:w="0" w:type="dxa"/>
          <w:bottom w:w="0" w:type="dxa"/>
          <w:right w:w="0" w:type="dxa"/>
        </w:tblCellMar>
      </w:tblPr>
      <w:tr>
        <w:trPr>
          <w:trHeight w:val="270"/>
        </w:trPr>
        <w:tc>
          <w:tcPr>
            <w:tcW w:w="4420" w:type="dxa"/>
            <w:vAlign w:val="bottom"/>
            <w:vMerge w:val="restart"/>
            <w:shd w:val="clear" w:color="auto" w:fill="0070C0"/>
          </w:tcPr>
          <w:p>
            <w:pPr>
              <w:ind w:left="1920"/>
              <w:spacing w:after="0"/>
              <w:rPr>
                <w:sz w:val="20"/>
                <w:szCs w:val="20"/>
                <w:color w:val="auto"/>
              </w:rPr>
            </w:pPr>
            <w:r>
              <w:rPr>
                <w:rFonts w:ascii="Times New Roman" w:cs="Times New Roman" w:eastAsia="Times New Roman" w:hAnsi="Times New Roman"/>
                <w:sz w:val="20"/>
                <w:szCs w:val="20"/>
                <w:b w:val="1"/>
                <w:bCs w:val="1"/>
                <w:color w:val="FFFFFF"/>
              </w:rPr>
              <w:t>Metric</w:t>
            </w:r>
          </w:p>
        </w:tc>
        <w:tc>
          <w:tcPr>
            <w:tcW w:w="1240" w:type="dxa"/>
            <w:vAlign w:val="bottom"/>
            <w:vMerge w:val="restart"/>
            <w:shd w:val="clear" w:color="auto" w:fill="0070C0"/>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Weight</w:t>
            </w:r>
          </w:p>
        </w:tc>
        <w:tc>
          <w:tcPr>
            <w:tcW w:w="600" w:type="dxa"/>
            <w:vAlign w:val="bottom"/>
            <w:shd w:val="clear" w:color="auto" w:fill="0070C0"/>
          </w:tcPr>
          <w:p>
            <w:pPr>
              <w:spacing w:after="0"/>
              <w:rPr>
                <w:sz w:val="23"/>
                <w:szCs w:val="23"/>
                <w:color w:val="auto"/>
              </w:rPr>
            </w:pPr>
          </w:p>
        </w:tc>
        <w:tc>
          <w:tcPr>
            <w:tcW w:w="1060" w:type="dxa"/>
            <w:vAlign w:val="bottom"/>
            <w:vMerge w:val="restart"/>
            <w:shd w:val="clear" w:color="auto" w:fill="0070C0"/>
          </w:tcPr>
          <w:p>
            <w:pPr>
              <w:ind w:left="200"/>
              <w:spacing w:after="0"/>
              <w:rPr>
                <w:sz w:val="20"/>
                <w:szCs w:val="20"/>
                <w:color w:val="auto"/>
              </w:rPr>
            </w:pPr>
            <w:r>
              <w:rPr>
                <w:rFonts w:ascii="Times New Roman" w:cs="Times New Roman" w:eastAsia="Times New Roman" w:hAnsi="Times New Roman"/>
                <w:sz w:val="20"/>
                <w:szCs w:val="20"/>
                <w:b w:val="1"/>
                <w:bCs w:val="1"/>
                <w:color w:val="FFFFFF"/>
              </w:rPr>
              <w:t>Result</w:t>
            </w:r>
          </w:p>
        </w:tc>
        <w:tc>
          <w:tcPr>
            <w:tcW w:w="800" w:type="dxa"/>
            <w:vAlign w:val="bottom"/>
            <w:shd w:val="clear" w:color="auto" w:fill="0070C0"/>
          </w:tcPr>
          <w:p>
            <w:pPr>
              <w:spacing w:after="0"/>
              <w:rPr>
                <w:sz w:val="23"/>
                <w:szCs w:val="23"/>
                <w:color w:val="auto"/>
              </w:rPr>
            </w:pPr>
          </w:p>
        </w:tc>
        <w:tc>
          <w:tcPr>
            <w:tcW w:w="1760" w:type="dxa"/>
            <w:vAlign w:val="bottom"/>
            <w:shd w:val="clear" w:color="auto" w:fill="0070C0"/>
          </w:tcPr>
          <w:p>
            <w:pPr>
              <w:jc w:val="center"/>
              <w:ind w:right="221"/>
              <w:spacing w:after="0"/>
              <w:rPr>
                <w:sz w:val="20"/>
                <w:szCs w:val="20"/>
                <w:color w:val="auto"/>
              </w:rPr>
            </w:pPr>
            <w:r>
              <w:rPr>
                <w:rFonts w:ascii="Times New Roman" w:cs="Times New Roman" w:eastAsia="Times New Roman" w:hAnsi="Times New Roman"/>
                <w:sz w:val="20"/>
                <w:szCs w:val="20"/>
                <w:b w:val="1"/>
                <w:bCs w:val="1"/>
                <w:color w:val="FFFFFF"/>
                <w:w w:val="97"/>
              </w:rPr>
              <w:t>Weighted</w:t>
            </w:r>
          </w:p>
        </w:tc>
        <w:tc>
          <w:tcPr>
            <w:tcW w:w="0" w:type="dxa"/>
            <w:vAlign w:val="bottom"/>
          </w:tcPr>
          <w:p>
            <w:pPr>
              <w:spacing w:after="0"/>
              <w:rPr>
                <w:sz w:val="1"/>
                <w:szCs w:val="1"/>
                <w:color w:val="auto"/>
              </w:rPr>
            </w:pPr>
          </w:p>
        </w:tc>
      </w:tr>
      <w:tr>
        <w:trPr>
          <w:trHeight w:val="141"/>
        </w:trPr>
        <w:tc>
          <w:tcPr>
            <w:tcW w:w="4420" w:type="dxa"/>
            <w:vAlign w:val="bottom"/>
            <w:vMerge w:val="continue"/>
            <w:shd w:val="clear" w:color="auto" w:fill="0070C0"/>
          </w:tcPr>
          <w:p>
            <w:pPr>
              <w:spacing w:after="0"/>
              <w:rPr>
                <w:sz w:val="12"/>
                <w:szCs w:val="12"/>
                <w:color w:val="auto"/>
              </w:rPr>
            </w:pPr>
          </w:p>
        </w:tc>
        <w:tc>
          <w:tcPr>
            <w:tcW w:w="1240" w:type="dxa"/>
            <w:vAlign w:val="bottom"/>
            <w:vMerge w:val="continue"/>
            <w:shd w:val="clear" w:color="auto" w:fill="0070C0"/>
          </w:tcPr>
          <w:p>
            <w:pPr>
              <w:spacing w:after="0"/>
              <w:rPr>
                <w:sz w:val="12"/>
                <w:szCs w:val="12"/>
                <w:color w:val="auto"/>
              </w:rPr>
            </w:pPr>
          </w:p>
        </w:tc>
        <w:tc>
          <w:tcPr>
            <w:tcW w:w="600" w:type="dxa"/>
            <w:vAlign w:val="bottom"/>
            <w:shd w:val="clear" w:color="auto" w:fill="0070C0"/>
          </w:tcPr>
          <w:p>
            <w:pPr>
              <w:spacing w:after="0"/>
              <w:rPr>
                <w:sz w:val="12"/>
                <w:szCs w:val="12"/>
                <w:color w:val="auto"/>
              </w:rPr>
            </w:pPr>
          </w:p>
        </w:tc>
        <w:tc>
          <w:tcPr>
            <w:tcW w:w="1060" w:type="dxa"/>
            <w:vAlign w:val="bottom"/>
            <w:vMerge w:val="continue"/>
            <w:shd w:val="clear" w:color="auto" w:fill="0070C0"/>
          </w:tcPr>
          <w:p>
            <w:pPr>
              <w:spacing w:after="0"/>
              <w:rPr>
                <w:sz w:val="12"/>
                <w:szCs w:val="12"/>
                <w:color w:val="auto"/>
              </w:rPr>
            </w:pPr>
          </w:p>
        </w:tc>
        <w:tc>
          <w:tcPr>
            <w:tcW w:w="800" w:type="dxa"/>
            <w:vAlign w:val="bottom"/>
            <w:shd w:val="clear" w:color="auto" w:fill="0070C0"/>
          </w:tcPr>
          <w:p>
            <w:pPr>
              <w:spacing w:after="0"/>
              <w:rPr>
                <w:sz w:val="12"/>
                <w:szCs w:val="12"/>
                <w:color w:val="auto"/>
              </w:rPr>
            </w:pPr>
          </w:p>
        </w:tc>
        <w:tc>
          <w:tcPr>
            <w:tcW w:w="1760" w:type="dxa"/>
            <w:vAlign w:val="bottom"/>
            <w:vMerge w:val="restart"/>
            <w:shd w:val="clear" w:color="auto" w:fill="0070C0"/>
          </w:tcPr>
          <w:p>
            <w:pPr>
              <w:jc w:val="center"/>
              <w:ind w:right="161"/>
              <w:spacing w:after="0"/>
              <w:rPr>
                <w:sz w:val="20"/>
                <w:szCs w:val="20"/>
                <w:color w:val="auto"/>
              </w:rPr>
            </w:pPr>
            <w:r>
              <w:rPr>
                <w:rFonts w:ascii="Times New Roman" w:cs="Times New Roman" w:eastAsia="Times New Roman" w:hAnsi="Times New Roman"/>
                <w:sz w:val="20"/>
                <w:szCs w:val="20"/>
                <w:b w:val="1"/>
                <w:bCs w:val="1"/>
                <w:color w:val="FFFFFF"/>
                <w:w w:val="99"/>
              </w:rPr>
              <w:t>Result</w:t>
            </w:r>
          </w:p>
        </w:tc>
        <w:tc>
          <w:tcPr>
            <w:tcW w:w="0" w:type="dxa"/>
            <w:vAlign w:val="bottom"/>
          </w:tcPr>
          <w:p>
            <w:pPr>
              <w:spacing w:after="0"/>
              <w:rPr>
                <w:sz w:val="1"/>
                <w:szCs w:val="1"/>
                <w:color w:val="auto"/>
              </w:rPr>
            </w:pPr>
          </w:p>
        </w:tc>
      </w:tr>
      <w:tr>
        <w:trPr>
          <w:trHeight w:val="149"/>
        </w:trPr>
        <w:tc>
          <w:tcPr>
            <w:tcW w:w="4420" w:type="dxa"/>
            <w:vAlign w:val="bottom"/>
            <w:tcBorders>
              <w:bottom w:val="single" w:sz="8" w:color="0070C0"/>
            </w:tcBorders>
            <w:shd w:val="clear" w:color="auto" w:fill="0070C0"/>
          </w:tcPr>
          <w:p>
            <w:pPr>
              <w:spacing w:after="0"/>
              <w:rPr>
                <w:sz w:val="13"/>
                <w:szCs w:val="13"/>
                <w:color w:val="auto"/>
              </w:rPr>
            </w:pPr>
          </w:p>
        </w:tc>
        <w:tc>
          <w:tcPr>
            <w:tcW w:w="1240" w:type="dxa"/>
            <w:vAlign w:val="bottom"/>
            <w:tcBorders>
              <w:bottom w:val="single" w:sz="8" w:color="0070C0"/>
            </w:tcBorders>
            <w:shd w:val="clear" w:color="auto" w:fill="0070C0"/>
          </w:tcPr>
          <w:p>
            <w:pPr>
              <w:spacing w:after="0"/>
              <w:rPr>
                <w:sz w:val="13"/>
                <w:szCs w:val="13"/>
                <w:color w:val="auto"/>
              </w:rPr>
            </w:pPr>
          </w:p>
        </w:tc>
        <w:tc>
          <w:tcPr>
            <w:tcW w:w="600" w:type="dxa"/>
            <w:vAlign w:val="bottom"/>
            <w:tcBorders>
              <w:bottom w:val="single" w:sz="8" w:color="0070C0"/>
            </w:tcBorders>
            <w:shd w:val="clear" w:color="auto" w:fill="0070C0"/>
          </w:tcPr>
          <w:p>
            <w:pPr>
              <w:spacing w:after="0"/>
              <w:rPr>
                <w:sz w:val="13"/>
                <w:szCs w:val="13"/>
                <w:color w:val="auto"/>
              </w:rPr>
            </w:pPr>
          </w:p>
        </w:tc>
        <w:tc>
          <w:tcPr>
            <w:tcW w:w="1060" w:type="dxa"/>
            <w:vAlign w:val="bottom"/>
            <w:tcBorders>
              <w:bottom w:val="single" w:sz="8" w:color="0070C0"/>
            </w:tcBorders>
            <w:shd w:val="clear" w:color="auto" w:fill="0070C0"/>
          </w:tcPr>
          <w:p>
            <w:pPr>
              <w:spacing w:after="0"/>
              <w:rPr>
                <w:sz w:val="13"/>
                <w:szCs w:val="13"/>
                <w:color w:val="auto"/>
              </w:rPr>
            </w:pPr>
          </w:p>
        </w:tc>
        <w:tc>
          <w:tcPr>
            <w:tcW w:w="800" w:type="dxa"/>
            <w:vAlign w:val="bottom"/>
            <w:tcBorders>
              <w:bottom w:val="single" w:sz="8" w:color="0070C0"/>
            </w:tcBorders>
            <w:shd w:val="clear" w:color="auto" w:fill="0070C0"/>
          </w:tcPr>
          <w:p>
            <w:pPr>
              <w:spacing w:after="0"/>
              <w:rPr>
                <w:sz w:val="13"/>
                <w:szCs w:val="13"/>
                <w:color w:val="auto"/>
              </w:rPr>
            </w:pPr>
          </w:p>
        </w:tc>
        <w:tc>
          <w:tcPr>
            <w:tcW w:w="1760" w:type="dxa"/>
            <w:vAlign w:val="bottom"/>
            <w:tcBorders>
              <w:bottom w:val="single" w:sz="8" w:color="0070C0"/>
            </w:tcBorders>
            <w:vMerge w:val="continue"/>
            <w:shd w:val="clear" w:color="auto" w:fill="0070C0"/>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color w:val="auto"/>
              </w:rPr>
              <w:t>Commercial Net Revenue</w:t>
            </w:r>
          </w:p>
        </w:tc>
        <w:tc>
          <w:tcPr>
            <w:tcW w:w="1240" w:type="dxa"/>
            <w:vAlign w:val="bottom"/>
            <w:tcBorders>
              <w:bottom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600" w:type="dxa"/>
            <w:vAlign w:val="bottom"/>
            <w:tcBorders>
              <w:bottom w:val="single" w:sz="8" w:color="0070C0"/>
            </w:tcBorders>
          </w:tcPr>
          <w:p>
            <w:pPr>
              <w:ind w:left="300"/>
              <w:spacing w:after="0"/>
              <w:rPr>
                <w:sz w:val="20"/>
                <w:szCs w:val="20"/>
                <w:color w:val="auto"/>
              </w:rPr>
            </w:pPr>
            <w:r>
              <w:rPr>
                <w:rFonts w:ascii="Times New Roman" w:cs="Times New Roman" w:eastAsia="Times New Roman" w:hAnsi="Times New Roman"/>
                <w:sz w:val="22"/>
                <w:szCs w:val="22"/>
                <w:color w:val="auto"/>
              </w:rPr>
              <w:t>x</w:t>
            </w:r>
          </w:p>
        </w:tc>
        <w:tc>
          <w:tcPr>
            <w:tcW w:w="1060" w:type="dxa"/>
            <w:vAlign w:val="bottom"/>
            <w:tcBorders>
              <w:bottom w:val="single" w:sz="8" w:color="0070C0"/>
            </w:tcBorders>
          </w:tcPr>
          <w:p>
            <w:pPr>
              <w:jc w:val="center"/>
              <w:ind w:right="21"/>
              <w:spacing w:after="0"/>
              <w:rPr>
                <w:sz w:val="20"/>
                <w:szCs w:val="20"/>
                <w:color w:val="auto"/>
              </w:rPr>
            </w:pPr>
            <w:r>
              <w:rPr>
                <w:rFonts w:ascii="Times New Roman" w:cs="Times New Roman" w:eastAsia="Times New Roman" w:hAnsi="Times New Roman"/>
                <w:sz w:val="20"/>
                <w:szCs w:val="20"/>
                <w:color w:val="auto"/>
                <w:w w:val="98"/>
              </w:rPr>
              <w:t>300%</w:t>
            </w: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color w:val="auto"/>
                <w:w w:val="98"/>
              </w:rPr>
              <w:t>120%</w:t>
            </w: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color w:val="auto"/>
              </w:rPr>
              <w:t>Commercial Operating Profit Dollars</w:t>
            </w:r>
          </w:p>
        </w:tc>
        <w:tc>
          <w:tcPr>
            <w:tcW w:w="1240" w:type="dxa"/>
            <w:vAlign w:val="bottom"/>
            <w:tcBorders>
              <w:bottom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40%</w:t>
            </w:r>
          </w:p>
        </w:tc>
        <w:tc>
          <w:tcPr>
            <w:tcW w:w="600" w:type="dxa"/>
            <w:vAlign w:val="bottom"/>
            <w:tcBorders>
              <w:bottom w:val="single" w:sz="8" w:color="0070C0"/>
            </w:tcBorders>
          </w:tcPr>
          <w:p>
            <w:pPr>
              <w:ind w:left="300"/>
              <w:spacing w:after="0"/>
              <w:rPr>
                <w:sz w:val="20"/>
                <w:szCs w:val="20"/>
                <w:color w:val="auto"/>
              </w:rPr>
            </w:pPr>
            <w:r>
              <w:rPr>
                <w:rFonts w:ascii="Times New Roman" w:cs="Times New Roman" w:eastAsia="Times New Roman" w:hAnsi="Times New Roman"/>
                <w:sz w:val="22"/>
                <w:szCs w:val="22"/>
                <w:color w:val="auto"/>
              </w:rPr>
              <w:t>x</w:t>
            </w:r>
          </w:p>
        </w:tc>
        <w:tc>
          <w:tcPr>
            <w:tcW w:w="1060" w:type="dxa"/>
            <w:vAlign w:val="bottom"/>
            <w:tcBorders>
              <w:bottom w:val="single" w:sz="8" w:color="0070C0"/>
            </w:tcBorders>
          </w:tcPr>
          <w:p>
            <w:pPr>
              <w:jc w:val="center"/>
              <w:ind w:right="21"/>
              <w:spacing w:after="0"/>
              <w:rPr>
                <w:sz w:val="20"/>
                <w:szCs w:val="20"/>
                <w:color w:val="auto"/>
              </w:rPr>
            </w:pPr>
            <w:r>
              <w:rPr>
                <w:rFonts w:ascii="Times New Roman" w:cs="Times New Roman" w:eastAsia="Times New Roman" w:hAnsi="Times New Roman"/>
                <w:sz w:val="20"/>
                <w:szCs w:val="20"/>
                <w:color w:val="auto"/>
                <w:w w:val="98"/>
              </w:rPr>
              <w:t>100%</w:t>
            </w: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color w:val="auto"/>
              </w:rPr>
              <w:t>Hasbro Strategic Scorecard</w:t>
            </w:r>
          </w:p>
        </w:tc>
        <w:tc>
          <w:tcPr>
            <w:tcW w:w="1240" w:type="dxa"/>
            <w:vAlign w:val="bottom"/>
            <w:tcBorders>
              <w:bottom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c>
          <w:tcPr>
            <w:tcW w:w="600" w:type="dxa"/>
            <w:vAlign w:val="bottom"/>
            <w:tcBorders>
              <w:bottom w:val="single" w:sz="8" w:color="0070C0"/>
            </w:tcBorders>
          </w:tcPr>
          <w:p>
            <w:pPr>
              <w:ind w:left="300"/>
              <w:spacing w:after="0"/>
              <w:rPr>
                <w:sz w:val="20"/>
                <w:szCs w:val="20"/>
                <w:color w:val="auto"/>
              </w:rPr>
            </w:pPr>
            <w:r>
              <w:rPr>
                <w:rFonts w:ascii="Times New Roman" w:cs="Times New Roman" w:eastAsia="Times New Roman" w:hAnsi="Times New Roman"/>
                <w:sz w:val="22"/>
                <w:szCs w:val="22"/>
                <w:color w:val="auto"/>
              </w:rPr>
              <w:t>x</w:t>
            </w:r>
          </w:p>
        </w:tc>
        <w:tc>
          <w:tcPr>
            <w:tcW w:w="1060" w:type="dxa"/>
            <w:vAlign w:val="bottom"/>
            <w:tcBorders>
              <w:bottom w:val="single" w:sz="8" w:color="0070C0"/>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95%</w:t>
            </w: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358"/>
        </w:trPr>
        <w:tc>
          <w:tcPr>
            <w:tcW w:w="4420" w:type="dxa"/>
            <w:vAlign w:val="bottom"/>
            <w:tcBorders>
              <w:bottom w:val="single" w:sz="8" w:color="0070C0"/>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Final Weighted PRP Performance Factor</w:t>
            </w:r>
          </w:p>
        </w:tc>
        <w:tc>
          <w:tcPr>
            <w:tcW w:w="1240" w:type="dxa"/>
            <w:vAlign w:val="bottom"/>
            <w:tcBorders>
              <w:bottom w:val="single" w:sz="8" w:color="0070C0"/>
            </w:tcBorders>
          </w:tcPr>
          <w:p>
            <w:pPr>
              <w:spacing w:after="0"/>
              <w:rPr>
                <w:sz w:val="24"/>
                <w:szCs w:val="24"/>
                <w:color w:val="auto"/>
              </w:rPr>
            </w:pPr>
          </w:p>
        </w:tc>
        <w:tc>
          <w:tcPr>
            <w:tcW w:w="600" w:type="dxa"/>
            <w:vAlign w:val="bottom"/>
            <w:tcBorders>
              <w:bottom w:val="single" w:sz="8" w:color="0070C0"/>
            </w:tcBorders>
          </w:tcPr>
          <w:p>
            <w:pPr>
              <w:spacing w:after="0"/>
              <w:rPr>
                <w:sz w:val="24"/>
                <w:szCs w:val="24"/>
                <w:color w:val="auto"/>
              </w:rPr>
            </w:pPr>
          </w:p>
        </w:tc>
        <w:tc>
          <w:tcPr>
            <w:tcW w:w="1060" w:type="dxa"/>
            <w:vAlign w:val="bottom"/>
            <w:tcBorders>
              <w:bottom w:val="single" w:sz="8" w:color="0070C0"/>
            </w:tcBorders>
          </w:tcPr>
          <w:p>
            <w:pPr>
              <w:spacing w:after="0"/>
              <w:rPr>
                <w:sz w:val="24"/>
                <w:szCs w:val="24"/>
                <w:color w:val="auto"/>
              </w:rPr>
            </w:pPr>
          </w:p>
        </w:tc>
        <w:tc>
          <w:tcPr>
            <w:tcW w:w="800" w:type="dxa"/>
            <w:vAlign w:val="bottom"/>
            <w:tcBorders>
              <w:bottom w:val="single" w:sz="8" w:color="0070C0"/>
            </w:tcBorders>
          </w:tcPr>
          <w:p>
            <w:pPr>
              <w:jc w:val="right"/>
              <w:ind w:right="214"/>
              <w:spacing w:after="0"/>
              <w:rPr>
                <w:sz w:val="20"/>
                <w:szCs w:val="20"/>
                <w:color w:val="auto"/>
              </w:rPr>
            </w:pPr>
            <w:r>
              <w:rPr>
                <w:rFonts w:ascii="Times New Roman" w:cs="Times New Roman" w:eastAsia="Times New Roman" w:hAnsi="Times New Roman"/>
                <w:sz w:val="25"/>
                <w:szCs w:val="25"/>
                <w:color w:val="auto"/>
              </w:rPr>
              <w:t>=</w:t>
            </w:r>
          </w:p>
        </w:tc>
        <w:tc>
          <w:tcPr>
            <w:tcW w:w="1760" w:type="dxa"/>
            <w:vAlign w:val="bottom"/>
            <w:tcBorders>
              <w:bottom w:val="single" w:sz="8" w:color="0070C0"/>
            </w:tcBorders>
          </w:tcPr>
          <w:p>
            <w:pPr>
              <w:jc w:val="center"/>
              <w:ind w:right="161"/>
              <w:spacing w:after="0"/>
              <w:rPr>
                <w:sz w:val="20"/>
                <w:szCs w:val="20"/>
                <w:color w:val="auto"/>
              </w:rPr>
            </w:pPr>
            <w:r>
              <w:rPr>
                <w:rFonts w:ascii="Times New Roman" w:cs="Times New Roman" w:eastAsia="Times New Roman" w:hAnsi="Times New Roman"/>
                <w:sz w:val="20"/>
                <w:szCs w:val="20"/>
                <w:b w:val="1"/>
                <w:bCs w:val="1"/>
                <w:color w:val="auto"/>
                <w:w w:val="99"/>
              </w:rPr>
              <w:t>179%</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460" w:right="100" w:hanging="8"/>
        <w:spacing w:after="0" w:line="252" w:lineRule="auto"/>
        <w:rPr>
          <w:sz w:val="20"/>
          <w:szCs w:val="20"/>
          <w:color w:val="auto"/>
        </w:rPr>
      </w:pPr>
      <w:r>
        <w:rPr>
          <w:rFonts w:ascii="Times New Roman" w:cs="Times New Roman" w:eastAsia="Times New Roman" w:hAnsi="Times New Roman"/>
          <w:sz w:val="22"/>
          <w:szCs w:val="22"/>
          <w:color w:val="auto"/>
        </w:rPr>
        <w:t>Once all the Business Unit results have been calculated, the funding pool of each respective Business Unit is developed. The Business Unit component funding pool for each of the Business Units (weighted at 80%), combined with the Hasbro strategic scorecard funding pool (weighted at 20%), will equal the aggregate of the PRP funding pool for the respective Business Unit Plan.</w:t>
      </w:r>
    </w:p>
    <w:p>
      <w:pPr>
        <w:spacing w:after="0" w:line="200" w:lineRule="exact"/>
        <w:rPr>
          <w:sz w:val="20"/>
          <w:szCs w:val="20"/>
          <w:color w:val="auto"/>
        </w:rPr>
      </w:pPr>
    </w:p>
    <w:p>
      <w:pPr>
        <w:spacing w:after="0" w:line="2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Funding Pools</w:t>
      </w:r>
    </w:p>
    <w:p>
      <w:pPr>
        <w:spacing w:after="0" w:line="287" w:lineRule="exact"/>
        <w:rPr>
          <w:sz w:val="20"/>
          <w:szCs w:val="20"/>
          <w:color w:val="auto"/>
        </w:rPr>
      </w:pPr>
    </w:p>
    <w:p>
      <w:pPr>
        <w:ind w:left="1100" w:right="40" w:hanging="8"/>
        <w:spacing w:after="0" w:line="248" w:lineRule="auto"/>
        <w:rPr>
          <w:sz w:val="20"/>
          <w:szCs w:val="20"/>
          <w:color w:val="auto"/>
        </w:rPr>
      </w:pPr>
      <w:r>
        <w:rPr>
          <w:rFonts w:ascii="Times New Roman" w:cs="Times New Roman" w:eastAsia="Times New Roman" w:hAnsi="Times New Roman"/>
          <w:sz w:val="22"/>
          <w:szCs w:val="22"/>
          <w:color w:val="auto"/>
        </w:rPr>
        <w:t>The Company calculates the Total Hasbro Plan funding pool based on the Company’s Financial Metric Performance through the end of the fiscal year against the applicable performance targets and the Hasbro Strategic Scorecard (“Total Hasbro Plan Funding Pool”). The Company calculates the funding pool for the Business Unit Plans based on Business Unit Financial Metric Performance through the end of the fiscal year against applicable financial performance targets for the respective Business Unit and performance against the Hasbro Strategic Scorecard (the “Business Unit Funding Pool”). The aggregate pool for all Business Unit Plans, together with the Total Hasbro Plan Funding Pool, is referred to hereinafter as the “Funding Pool”.</w:t>
      </w:r>
    </w:p>
    <w:p>
      <w:pPr>
        <w:spacing w:after="0" w:line="3" w:lineRule="exact"/>
        <w:rPr>
          <w:sz w:val="20"/>
          <w:szCs w:val="20"/>
          <w:color w:val="auto"/>
        </w:rPr>
      </w:pPr>
    </w:p>
    <w:p>
      <w:pPr>
        <w:ind w:left="1100" w:right="140" w:hanging="8"/>
        <w:spacing w:after="0" w:line="261" w:lineRule="auto"/>
        <w:rPr>
          <w:sz w:val="20"/>
          <w:szCs w:val="20"/>
          <w:color w:val="auto"/>
        </w:rPr>
      </w:pPr>
      <w:r>
        <w:rPr>
          <w:rFonts w:ascii="Times New Roman" w:cs="Times New Roman" w:eastAsia="Times New Roman" w:hAnsi="Times New Roman"/>
          <w:sz w:val="22"/>
          <w:szCs w:val="22"/>
          <w:color w:val="auto"/>
        </w:rPr>
        <w:t>The CEO and the Compensation Committee reserve the right to alter the Funding Pool after year end, but prior to the actual payment of awards to participants in the PRP.</w:t>
      </w:r>
    </w:p>
    <w:p>
      <w:pPr>
        <w:spacing w:after="0" w:line="19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High Performer Pool</w:t>
      </w:r>
    </w:p>
    <w:p>
      <w:pPr>
        <w:spacing w:after="0" w:line="274" w:lineRule="exact"/>
        <w:rPr>
          <w:sz w:val="20"/>
          <w:szCs w:val="20"/>
          <w:color w:val="auto"/>
        </w:rPr>
      </w:pPr>
    </w:p>
    <w:p>
      <w:pPr>
        <w:ind w:left="1100" w:hanging="431"/>
        <w:spacing w:after="0" w:line="251" w:lineRule="auto"/>
        <w:rPr>
          <w:sz w:val="20"/>
          <w:szCs w:val="20"/>
          <w:color w:val="auto"/>
        </w:rPr>
      </w:pPr>
      <w:r>
        <w:rPr>
          <w:rFonts w:ascii="Times New Roman" w:cs="Times New Roman" w:eastAsia="Times New Roman" w:hAnsi="Times New Roman"/>
          <w:sz w:val="22"/>
          <w:szCs w:val="22"/>
          <w:color w:val="auto"/>
        </w:rPr>
        <w:t>Following the end of the year, but prior to the payment of all awards under the PRP, management of the Company, in its sole discretion, may determine it appropriate to reward high-performing Company employees through an additional funding pool (the “High Performer Pool”). Funding of the High Performer Pool is determined by the achievement of the Company’s Operating Profit Dollars, overall Company or reporting Business Unit performance and affordability. The aggregate amount of the High Performer Pool is subject to Compensation Committee approval.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40"/>
          </w:cols>
          <w:pgMar w:left="520" w:top="1301" w:right="339" w:bottom="1440" w:gutter="0" w:footer="0" w:header="0"/>
        </w:sectPr>
      </w:pPr>
    </w:p>
    <w:bookmarkStart w:id="57" w:name="page58"/>
    <w:bookmarkEnd w:id="57"/>
    <w:p>
      <w:pPr>
        <w:ind w:left="220"/>
        <w:spacing w:after="0"/>
        <w:tabs>
          <w:tab w:leader="none" w:pos="7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Total Awards Under the PRP</w:t>
      </w:r>
    </w:p>
    <w:p>
      <w:pPr>
        <w:spacing w:after="0" w:line="260" w:lineRule="exact"/>
        <w:rPr>
          <w:sz w:val="20"/>
          <w:szCs w:val="20"/>
          <w:color w:val="auto"/>
        </w:rPr>
      </w:pPr>
    </w:p>
    <w:p>
      <w:pPr>
        <w:ind w:left="1300" w:right="300" w:hanging="8"/>
        <w:spacing w:after="0" w:line="271" w:lineRule="auto"/>
        <w:rPr>
          <w:sz w:val="20"/>
          <w:szCs w:val="20"/>
          <w:color w:val="auto"/>
        </w:rPr>
      </w:pPr>
      <w:r>
        <w:rPr>
          <w:rFonts w:ascii="Times New Roman" w:cs="Times New Roman" w:eastAsia="Times New Roman" w:hAnsi="Times New Roman"/>
          <w:sz w:val="22"/>
          <w:szCs w:val="22"/>
          <w:color w:val="auto"/>
        </w:rPr>
        <w:t>The aggregate of all incentive awards under the PRP shall consist of the sum of the Funding Pool and the High Performer Pool.</w:t>
      </w:r>
    </w:p>
    <w:p>
      <w:pPr>
        <w:spacing w:after="0" w:line="185"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Management Review</w:t>
      </w:r>
    </w:p>
    <w:p>
      <w:pPr>
        <w:spacing w:after="0" w:line="287" w:lineRule="exact"/>
        <w:rPr>
          <w:sz w:val="20"/>
          <w:szCs w:val="20"/>
          <w:color w:val="auto"/>
        </w:rPr>
      </w:pPr>
    </w:p>
    <w:p>
      <w:pPr>
        <w:ind w:left="1300" w:hanging="8"/>
        <w:spacing w:after="0" w:line="260" w:lineRule="auto"/>
        <w:rPr>
          <w:sz w:val="20"/>
          <w:szCs w:val="20"/>
          <w:color w:val="auto"/>
        </w:rPr>
      </w:pPr>
      <w:r>
        <w:rPr>
          <w:rFonts w:ascii="Times New Roman" w:cs="Times New Roman" w:eastAsia="Times New Roman" w:hAnsi="Times New Roman"/>
          <w:sz w:val="21"/>
          <w:szCs w:val="21"/>
          <w:color w:val="auto"/>
        </w:rPr>
        <w:t>Payment of any incentive award to an employee is subject to management’s review. For purposes of the PRP, management has the ability to review the proposed payout of any incentive award under the PRP to an eligible employee and to determine whether such proposed incentive award should be adjusted based on the participant’s performance, contributions to the organization, or any other factor not prohibited by applicable law. In completing this review, management has the option of providing a zero-value incentive award to the employee regardless of Total Hasbro or Business Unit performance. For participants that do not receive an incentive award or that receive a reduced incentive award, including for any of the reasons set forth in Section 5.0 below, the portion of such employee’s potential incentive award that might have been reflected in the Funding Pool will remain in the Funding Pool and be allocated to other PRP participants in the manner determined by management.</w:t>
      </w:r>
    </w:p>
    <w:p>
      <w:pPr>
        <w:spacing w:after="0" w:line="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5.0</w:t>
      </w:r>
      <w:r>
        <w:rPr>
          <w:sz w:val="20"/>
          <w:szCs w:val="20"/>
          <w:color w:val="auto"/>
        </w:rPr>
        <w:tab/>
      </w:r>
      <w:r>
        <w:rPr>
          <w:rFonts w:ascii="Times New Roman" w:cs="Times New Roman" w:eastAsia="Times New Roman" w:hAnsi="Times New Roman"/>
          <w:sz w:val="21"/>
          <w:szCs w:val="21"/>
          <w:u w:val="single" w:color="auto"/>
          <w:color w:val="auto"/>
        </w:rPr>
        <w:t>Removals, Transfers, Terminations, Promotions and Hiring Eligibility</w:t>
      </w:r>
    </w:p>
    <w:p>
      <w:pPr>
        <w:spacing w:after="0" w:line="236" w:lineRule="exact"/>
        <w:rPr>
          <w:sz w:val="20"/>
          <w:szCs w:val="20"/>
          <w:color w:val="auto"/>
        </w:rPr>
      </w:pPr>
    </w:p>
    <w:p>
      <w:pPr>
        <w:ind w:left="660" w:right="320" w:hanging="431"/>
        <w:spacing w:after="0" w:line="261" w:lineRule="auto"/>
        <w:rPr>
          <w:sz w:val="20"/>
          <w:szCs w:val="20"/>
          <w:color w:val="auto"/>
        </w:rPr>
      </w:pPr>
      <w:r>
        <w:rPr>
          <w:rFonts w:ascii="Times New Roman" w:cs="Times New Roman" w:eastAsia="Times New Roman" w:hAnsi="Times New Roman"/>
          <w:sz w:val="22"/>
          <w:szCs w:val="22"/>
          <w:color w:val="auto"/>
        </w:rPr>
        <w:t>Except to the extent applicable legal requirements or the terms of an employment agreement mandate a different result, the following scenarios will be addressed under the PRP in the manner set forth below.</w:t>
      </w: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Participants whose employment with the Company is terminated because of retirement or disability:</w:t>
      </w:r>
    </w:p>
    <w:p>
      <w:pPr>
        <w:spacing w:after="0" w:line="263" w:lineRule="exact"/>
        <w:rPr>
          <w:sz w:val="20"/>
          <w:szCs w:val="20"/>
          <w:color w:val="auto"/>
        </w:rPr>
      </w:pPr>
    </w:p>
    <w:p>
      <w:pPr>
        <w:ind w:left="2440" w:right="780" w:hanging="650"/>
        <w:spacing w:after="0" w:line="250" w:lineRule="auto"/>
        <w:tabs>
          <w:tab w:leader="none" w:pos="242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close of the PRP year, but prior to the actual distribution of incentive awards for such year, may be awarded an incentive award for the plan year at the discretion of the EVP and Chief People Officer.</w:t>
      </w:r>
    </w:p>
    <w:p>
      <w:pPr>
        <w:spacing w:after="0" w:line="2" w:lineRule="exact"/>
        <w:rPr>
          <w:rFonts w:ascii="Times New Roman" w:cs="Times New Roman" w:eastAsia="Times New Roman" w:hAnsi="Times New Roman"/>
          <w:sz w:val="22"/>
          <w:szCs w:val="22"/>
          <w:color w:val="auto"/>
        </w:rPr>
      </w:pPr>
    </w:p>
    <w:p>
      <w:pPr>
        <w:ind w:left="2440" w:right="820" w:hanging="650"/>
        <w:spacing w:after="0" w:line="244" w:lineRule="auto"/>
        <w:tabs>
          <w:tab w:leader="none" w:pos="243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beginning, but prior to the close of the PRP year, no award shall be granted unless authorized at the discretion of the EVP and Chief People Officer.</w:t>
      </w:r>
    </w:p>
    <w:p>
      <w:pPr>
        <w:spacing w:after="0" w:line="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Participants whose employment with the Company is terminated because of death:</w:t>
      </w:r>
    </w:p>
    <w:p>
      <w:pPr>
        <w:spacing w:after="0" w:line="15" w:lineRule="exact"/>
        <w:rPr>
          <w:sz w:val="20"/>
          <w:szCs w:val="20"/>
          <w:color w:val="auto"/>
        </w:rPr>
      </w:pPr>
    </w:p>
    <w:p>
      <w:pPr>
        <w:ind w:left="2440" w:right="660" w:hanging="650"/>
        <w:spacing w:after="0" w:line="252" w:lineRule="auto"/>
        <w:tabs>
          <w:tab w:leader="none" w:pos="242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close of the PRP year, but prior to the actual distribution of awards for such year, shall be awarded an incentive award. Such payment will be made to the deceased employee’s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60"/>
          </w:cols>
          <w:pgMar w:left="320" w:top="1057" w:right="419" w:bottom="1440" w:gutter="0" w:footer="0" w:header="0"/>
        </w:sectPr>
      </w:pPr>
    </w:p>
    <w:bookmarkStart w:id="58" w:name="page59"/>
    <w:bookmarkEnd w:id="58"/>
    <w:p>
      <w:pPr>
        <w:ind w:left="1880" w:right="800" w:hanging="640"/>
        <w:spacing w:after="0" w:line="251" w:lineRule="auto"/>
        <w:tabs>
          <w:tab w:leader="none" w:pos="187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beginning, but prior to the close of the PRP year, no award shall be granted unless authorized at the discretion of the EVP and Chief People Officer. Any such payments will be made to the deceased employee’s estate.</w:t>
      </w:r>
    </w:p>
    <w:p>
      <w:pPr>
        <w:spacing w:after="0" w:line="2" w:lineRule="exact"/>
        <w:rPr>
          <w:sz w:val="20"/>
          <w:szCs w:val="20"/>
          <w:color w:val="auto"/>
        </w:rPr>
      </w:pPr>
    </w:p>
    <w:p>
      <w:pPr>
        <w:ind w:left="800" w:right="500" w:hanging="647"/>
        <w:spacing w:after="0" w:line="249" w:lineRule="auto"/>
        <w:tabs>
          <w:tab w:leader="none" w:pos="7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Participants who resign for any reason during the PRP year or after the close of the PRP year, but prior to the distribution of incentive awards for such year, will not receive an incentive award for any PRP year.</w:t>
      </w:r>
    </w:p>
    <w:p>
      <w:pPr>
        <w:spacing w:after="0" w:line="2" w:lineRule="exact"/>
        <w:rPr>
          <w:sz w:val="20"/>
          <w:szCs w:val="20"/>
          <w:color w:val="auto"/>
        </w:rPr>
      </w:pPr>
    </w:p>
    <w:p>
      <w:pPr>
        <w:jc w:val="both"/>
        <w:ind w:left="800" w:right="240" w:hanging="647"/>
        <w:spacing w:after="0" w:line="246" w:lineRule="auto"/>
        <w:tabs>
          <w:tab w:leader="none" w:pos="7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Participants who are terminated from the employ of the Company or any of its subsidiaries for cause or for any offense involving moral turpitude or an offense involving breach of the fiduciary duty owed by the individual to the Company will not be entitled to an incentive award for any PRP year.</w:t>
      </w:r>
    </w:p>
    <w:p>
      <w:pPr>
        <w:spacing w:after="0" w:line="3" w:lineRule="exact"/>
        <w:rPr>
          <w:sz w:val="20"/>
          <w:szCs w:val="20"/>
          <w:color w:val="auto"/>
        </w:rPr>
      </w:pPr>
    </w:p>
    <w:p>
      <w:pPr>
        <w:ind w:left="800" w:hanging="647"/>
        <w:spacing w:after="0" w:line="252" w:lineRule="auto"/>
        <w:tabs>
          <w:tab w:leader="none" w:pos="7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color w:val="auto"/>
        </w:rPr>
        <w:t>Participants who are terminated from the employ of the Company or any of its subsidiaries due to any reason other than the ones enumerated above, including, without limitation, employees who are discharged due to job elimination:</w:t>
      </w:r>
    </w:p>
    <w:p>
      <w:pPr>
        <w:spacing w:after="0" w:line="246" w:lineRule="exact"/>
        <w:rPr>
          <w:sz w:val="20"/>
          <w:szCs w:val="20"/>
          <w:color w:val="auto"/>
        </w:rPr>
      </w:pPr>
    </w:p>
    <w:p>
      <w:pPr>
        <w:ind w:left="1940" w:right="1040" w:hanging="650"/>
        <w:spacing w:after="0" w:line="257" w:lineRule="auto"/>
        <w:tabs>
          <w:tab w:leader="none" w:pos="19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close of the PRP year, but prior to the actual distribution of incentive awards for such year, may be awarded an incentive award. No award shall be granted unless authorized at the discretion of the EVP and Chief People Officer.</w:t>
      </w:r>
    </w:p>
    <w:p>
      <w:pPr>
        <w:spacing w:after="0" w:line="240" w:lineRule="exact"/>
        <w:rPr>
          <w:rFonts w:ascii="Times New Roman" w:cs="Times New Roman" w:eastAsia="Times New Roman" w:hAnsi="Times New Roman"/>
          <w:sz w:val="22"/>
          <w:szCs w:val="22"/>
          <w:color w:val="auto"/>
        </w:rPr>
      </w:pPr>
    </w:p>
    <w:p>
      <w:pPr>
        <w:jc w:val="both"/>
        <w:ind w:left="1940" w:right="700" w:hanging="650"/>
        <w:spacing w:after="0" w:line="257" w:lineRule="auto"/>
        <w:tabs>
          <w:tab w:leader="none" w:pos="193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beginning, but prior to the close of the PRP year, the employee is no longer eligible for that year. However, a discretionary incentive award may be granted by the EVP and Chief People Officer.</w:t>
      </w:r>
    </w:p>
    <w:p>
      <w:pPr>
        <w:spacing w:after="0" w:line="240" w:lineRule="exact"/>
        <w:rPr>
          <w:sz w:val="20"/>
          <w:szCs w:val="20"/>
          <w:color w:val="auto"/>
        </w:rPr>
      </w:pPr>
    </w:p>
    <w:p>
      <w:pPr>
        <w:ind w:left="160"/>
        <w:spacing w:after="0"/>
        <w:tabs>
          <w:tab w:leader="none" w:pos="6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color w:val="auto"/>
        </w:rPr>
        <w:t>Participants under statutory or contractual notices:</w:t>
      </w:r>
    </w:p>
    <w:p>
      <w:pPr>
        <w:spacing w:after="0" w:line="28" w:lineRule="exact"/>
        <w:rPr>
          <w:sz w:val="20"/>
          <w:szCs w:val="20"/>
          <w:color w:val="auto"/>
        </w:rPr>
      </w:pPr>
    </w:p>
    <w:p>
      <w:pPr>
        <w:ind w:left="1940" w:right="1180" w:hanging="650"/>
        <w:spacing w:after="0" w:line="252" w:lineRule="auto"/>
        <w:tabs>
          <w:tab w:leader="none" w:pos="192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end of the fiscal year, except as may be required by contract or applicable law, no award shall be granted unless authorized at the discretion of the EVP and Chief People Officer.</w:t>
      </w:r>
    </w:p>
    <w:p>
      <w:pPr>
        <w:spacing w:after="0" w:line="232" w:lineRule="exact"/>
        <w:rPr>
          <w:sz w:val="20"/>
          <w:szCs w:val="20"/>
          <w:color w:val="auto"/>
        </w:rPr>
      </w:pPr>
    </w:p>
    <w:p>
      <w:pPr>
        <w:ind w:left="1880" w:hanging="640"/>
        <w:spacing w:after="0"/>
        <w:tabs>
          <w:tab w:leader="none" w:pos="18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ends prior to the close of the PRP year, shall not be eligible for an incentive award for</w:t>
      </w:r>
    </w:p>
    <w:p>
      <w:pPr>
        <w:spacing w:after="0" w:line="29" w:lineRule="exact"/>
        <w:rPr>
          <w:sz w:val="20"/>
          <w:szCs w:val="20"/>
          <w:color w:val="auto"/>
        </w:rPr>
      </w:pPr>
    </w:p>
    <w:p>
      <w:pPr>
        <w:ind w:left="1880" w:right="1580"/>
        <w:spacing w:after="0" w:line="260" w:lineRule="auto"/>
        <w:rPr>
          <w:sz w:val="20"/>
          <w:szCs w:val="20"/>
          <w:color w:val="auto"/>
        </w:rPr>
      </w:pPr>
      <w:r>
        <w:rPr>
          <w:rFonts w:ascii="Times New Roman" w:cs="Times New Roman" w:eastAsia="Times New Roman" w:hAnsi="Times New Roman"/>
          <w:sz w:val="21"/>
          <w:szCs w:val="21"/>
          <w:color w:val="auto"/>
        </w:rPr>
        <w:t>that plan year except as may be required by contract or applicable law. However, a discretionary incentive award may be granted by the EVP and Chief People Officer.</w:t>
      </w:r>
    </w:p>
    <w:p>
      <w:pPr>
        <w:spacing w:after="0" w:line="1" w:lineRule="exact"/>
        <w:rPr>
          <w:sz w:val="20"/>
          <w:szCs w:val="20"/>
          <w:color w:val="auto"/>
        </w:rPr>
      </w:pPr>
    </w:p>
    <w:p>
      <w:pPr>
        <w:ind w:left="800" w:right="20" w:hanging="647"/>
        <w:spacing w:after="0" w:line="247" w:lineRule="auto"/>
        <w:tabs>
          <w:tab w:leader="none" w:pos="7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color w:val="auto"/>
        </w:rPr>
        <w:t>Participants transferred during the PRP year from one division or business unit of the Company to another where such transfer results in the participant being assigned to different plans during the same PRP year (e.g., from the Total Hasbro Plan to a Business Unit Plan; from a Business Unit Plan to the Total Hasbro Plan; or from a Business Unit Plan to a different Business Unit Plan), will be eligible to receive an incentive award (subject to achievement of the requisite performance)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720"/>
          </w:cols>
          <w:pgMar w:left="820" w:top="774" w:right="359" w:bottom="1440" w:gutter="0" w:footer="0" w:header="0"/>
        </w:sectPr>
      </w:pPr>
    </w:p>
    <w:bookmarkStart w:id="59" w:name="page60"/>
    <w:bookmarkEnd w:id="59"/>
    <w:p>
      <w:pPr>
        <w:ind w:left="1300"/>
        <w:spacing w:after="0" w:line="262" w:lineRule="auto"/>
        <w:rPr>
          <w:sz w:val="20"/>
          <w:szCs w:val="20"/>
          <w:color w:val="auto"/>
        </w:rPr>
      </w:pPr>
      <w:r>
        <w:rPr>
          <w:rFonts w:ascii="Times New Roman" w:cs="Times New Roman" w:eastAsia="Times New Roman" w:hAnsi="Times New Roman"/>
          <w:sz w:val="21"/>
          <w:szCs w:val="21"/>
          <w:color w:val="auto"/>
        </w:rPr>
        <w:t>under the plan associated with such employee’s position at the end of the PRP year, but the award amount may be based on the performance of the respective plans associated with the employee’s positions during the same PRP year, in such amount and in such manner as determined in the sole discretion of the EVP and Chief People Officer.</w:t>
      </w:r>
    </w:p>
    <w:p>
      <w:pPr>
        <w:spacing w:after="0" w:line="3" w:lineRule="exact"/>
        <w:rPr>
          <w:sz w:val="20"/>
          <w:szCs w:val="20"/>
          <w:color w:val="auto"/>
        </w:rPr>
      </w:pPr>
    </w:p>
    <w:p>
      <w:pPr>
        <w:ind w:left="1300" w:right="560" w:hanging="647"/>
        <w:spacing w:after="0" w:line="231" w:lineRule="auto"/>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2"/>
          <w:szCs w:val="22"/>
          <w:color w:val="auto"/>
        </w:rPr>
        <w:t>Employees hired during the PRP year must be actively employed on or before October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or another date designated by the EVP and Chief People Officer of the PRP year to participate in the PRP for that PRP year. Incentive awards will be made based upon the employee's earned base salary during the period of their employment with the Company during the PRP year.</w:t>
      </w:r>
    </w:p>
    <w:p>
      <w:pPr>
        <w:spacing w:after="0" w:line="232" w:lineRule="exact"/>
        <w:rPr>
          <w:sz w:val="20"/>
          <w:szCs w:val="20"/>
          <w:color w:val="auto"/>
        </w:rPr>
      </w:pPr>
    </w:p>
    <w:p>
      <w:pPr>
        <w:ind w:left="1300" w:right="320" w:hanging="647"/>
        <w:spacing w:after="0" w:line="250" w:lineRule="auto"/>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2"/>
          <w:szCs w:val="22"/>
          <w:color w:val="auto"/>
        </w:rPr>
        <w:t>The eligibility for an incentive award under the PRP for employees who remain employed with the Company during the PRP year but whose change in employment status through promotion or reclassification affects their level of participation:</w:t>
      </w:r>
    </w:p>
    <w:p>
      <w:pPr>
        <w:spacing w:after="0" w:line="3" w:lineRule="exact"/>
        <w:rPr>
          <w:sz w:val="20"/>
          <w:szCs w:val="20"/>
          <w:color w:val="auto"/>
        </w:rPr>
      </w:pPr>
    </w:p>
    <w:p>
      <w:pPr>
        <w:ind w:left="2440" w:right="940" w:hanging="650"/>
        <w:spacing w:after="0" w:line="228" w:lineRule="auto"/>
        <w:tabs>
          <w:tab w:leader="none" w:pos="242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October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or another date designated by the EVP and Chief People Officer, of the PRP year, will participate at the level consistent with the promotion or reclassification.</w:t>
      </w:r>
    </w:p>
    <w:p>
      <w:pPr>
        <w:spacing w:after="0" w:line="2" w:lineRule="exact"/>
        <w:rPr>
          <w:rFonts w:ascii="Times New Roman" w:cs="Times New Roman" w:eastAsia="Times New Roman" w:hAnsi="Times New Roman"/>
          <w:sz w:val="21"/>
          <w:szCs w:val="21"/>
          <w:color w:val="auto"/>
        </w:rPr>
      </w:pPr>
    </w:p>
    <w:p>
      <w:pPr>
        <w:ind w:left="2440" w:hanging="650"/>
        <w:spacing w:after="0" w:line="191" w:lineRule="auto"/>
        <w:tabs>
          <w:tab w:leader="none" w:pos="24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October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or another date designated by the EVP and Chief People Officer, but prior</w:t>
      </w:r>
    </w:p>
    <w:p>
      <w:pPr>
        <w:ind w:left="2440" w:right="980"/>
        <w:spacing w:after="0" w:line="243" w:lineRule="auto"/>
        <w:rPr>
          <w:sz w:val="20"/>
          <w:szCs w:val="20"/>
          <w:color w:val="auto"/>
        </w:rPr>
      </w:pPr>
      <w:r>
        <w:rPr>
          <w:rFonts w:ascii="Times New Roman" w:cs="Times New Roman" w:eastAsia="Times New Roman" w:hAnsi="Times New Roman"/>
          <w:sz w:val="22"/>
          <w:szCs w:val="22"/>
          <w:color w:val="auto"/>
        </w:rPr>
        <w:t>to the close of the PRP year, will participate at the level consistent with their classification prior to the promotion or reclassification.</w:t>
      </w:r>
    </w:p>
    <w:p>
      <w:pPr>
        <w:spacing w:after="0" w:line="1" w:lineRule="exact"/>
        <w:rPr>
          <w:sz w:val="20"/>
          <w:szCs w:val="20"/>
          <w:color w:val="auto"/>
        </w:rPr>
      </w:pPr>
    </w:p>
    <w:p>
      <w:pPr>
        <w:ind w:left="1300" w:right="140" w:hanging="647"/>
        <w:spacing w:after="0" w:line="247" w:lineRule="auto"/>
        <w:tabs>
          <w:tab w:leader="none" w:pos="1280" w:val="left"/>
        </w:tabs>
        <w:rPr>
          <w:sz w:val="20"/>
          <w:szCs w:val="20"/>
          <w:color w:val="auto"/>
        </w:rPr>
      </w:pPr>
      <w:r>
        <w:rPr>
          <w:rFonts w:ascii="Times New Roman" w:cs="Times New Roman" w:eastAsia="Times New Roman" w:hAnsi="Times New Roman"/>
          <w:sz w:val="22"/>
          <w:szCs w:val="22"/>
          <w:color w:val="auto"/>
        </w:rPr>
        <w:t>1.10</w:t>
        <w:tab/>
        <w:t>The eligibility for an incentive award under the PRP for employees who remain employed with the Company during the PRP year but whose change in employment status through demotion affects their level of participation will be determined in the sole discretion of the EVP and Chief People Officer.</w:t>
      </w:r>
    </w:p>
    <w:p>
      <w:pPr>
        <w:spacing w:after="0" w:line="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Administration of the PRP</w:t>
      </w:r>
    </w:p>
    <w:p>
      <w:pPr>
        <w:spacing w:after="0" w:line="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 xml:space="preserve">Amendments to the PRP </w:t>
      </w:r>
      <w:r>
        <w:rPr>
          <w:rFonts w:ascii="Times New Roman" w:cs="Times New Roman" w:eastAsia="Times New Roman" w:hAnsi="Times New Roman"/>
          <w:sz w:val="21"/>
          <w:szCs w:val="21"/>
          <w:color w:val="auto"/>
        </w:rPr>
        <w:t>(Contingency Clause)</w:t>
      </w:r>
    </w:p>
    <w:p>
      <w:pPr>
        <w:spacing w:after="0" w:line="247" w:lineRule="exact"/>
        <w:rPr>
          <w:sz w:val="20"/>
          <w:szCs w:val="20"/>
          <w:color w:val="auto"/>
        </w:rPr>
      </w:pPr>
    </w:p>
    <w:p>
      <w:pPr>
        <w:ind w:left="1300" w:right="100" w:hanging="8"/>
        <w:spacing w:after="0" w:line="255" w:lineRule="auto"/>
        <w:rPr>
          <w:sz w:val="20"/>
          <w:szCs w:val="20"/>
          <w:color w:val="auto"/>
        </w:rPr>
      </w:pPr>
      <w:r>
        <w:rPr>
          <w:rFonts w:ascii="Times New Roman" w:cs="Times New Roman" w:eastAsia="Times New Roman" w:hAnsi="Times New Roman"/>
          <w:sz w:val="22"/>
          <w:szCs w:val="22"/>
          <w:color w:val="auto"/>
        </w:rPr>
        <w:t>The CEO and the Compensation Committee reserve the right to interpret, amend, modify, or terminate the PRP in accordance with changing conditions at any time in their sole discretion.</w:t>
      </w:r>
    </w:p>
    <w:p>
      <w:pPr>
        <w:spacing w:after="0" w:line="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Incentive Award Distribution</w:t>
      </w:r>
    </w:p>
    <w:p>
      <w:pPr>
        <w:spacing w:after="0" w:line="248" w:lineRule="exact"/>
        <w:rPr>
          <w:sz w:val="20"/>
          <w:szCs w:val="20"/>
          <w:color w:val="auto"/>
        </w:rPr>
      </w:pPr>
    </w:p>
    <w:p>
      <w:pPr>
        <w:jc w:val="both"/>
        <w:ind w:left="1300" w:right="20"/>
        <w:spacing w:after="0" w:line="250" w:lineRule="auto"/>
        <w:rPr>
          <w:sz w:val="20"/>
          <w:szCs w:val="20"/>
          <w:color w:val="auto"/>
        </w:rPr>
      </w:pPr>
      <w:r>
        <w:rPr>
          <w:rFonts w:ascii="Times New Roman" w:cs="Times New Roman" w:eastAsia="Times New Roman" w:hAnsi="Times New Roman"/>
          <w:sz w:val="22"/>
          <w:szCs w:val="22"/>
          <w:color w:val="auto"/>
        </w:rPr>
        <w:t>Incentive awards, when payable, shall be paid as near to the close of the Company’s fiscal year as may be feasible. Participants in the PRP must be employed at the time of award distribution in order to receive an incentive award, except as otherwise provided herein.</w:t>
      </w:r>
    </w:p>
    <w:p>
      <w:pPr>
        <w:spacing w:after="0" w:line="3" w:lineRule="exact"/>
        <w:rPr>
          <w:sz w:val="20"/>
          <w:szCs w:val="20"/>
          <w:color w:val="auto"/>
        </w:rPr>
      </w:pPr>
    </w:p>
    <w:p>
      <w:pPr>
        <w:ind w:left="1300" w:right="460" w:hanging="1079"/>
        <w:spacing w:after="0" w:line="261" w:lineRule="auto"/>
        <w:rPr>
          <w:sz w:val="20"/>
          <w:szCs w:val="20"/>
          <w:color w:val="auto"/>
        </w:rPr>
      </w:pPr>
      <w:r>
        <w:rPr>
          <w:rFonts w:ascii="Times New Roman" w:cs="Times New Roman" w:eastAsia="Times New Roman" w:hAnsi="Times New Roman"/>
          <w:sz w:val="22"/>
          <w:szCs w:val="22"/>
          <w:color w:val="auto"/>
        </w:rPr>
        <w:t>No individual has the right to receive an incentive award until it has been approved and distributed in accordance with the provisions of the PRP.</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20" w:top="774" w:right="359" w:bottom="1440" w:gutter="0" w:footer="0" w:header="0"/>
        </w:sectPr>
      </w:pPr>
    </w:p>
    <w:bookmarkStart w:id="60" w:name="page61"/>
    <w:bookmarkEnd w:id="60"/>
    <w:p>
      <w:pPr>
        <w:ind w:left="160"/>
        <w:spacing w:after="0"/>
        <w:tabs>
          <w:tab w:leader="none" w:pos="7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Non-Assignment of Awards</w:t>
      </w:r>
    </w:p>
    <w:p>
      <w:pPr>
        <w:spacing w:after="0" w:line="274" w:lineRule="exact"/>
        <w:rPr>
          <w:sz w:val="20"/>
          <w:szCs w:val="20"/>
          <w:color w:val="auto"/>
        </w:rPr>
      </w:pPr>
    </w:p>
    <w:p>
      <w:pPr>
        <w:ind w:left="800" w:right="100"/>
        <w:spacing w:after="0" w:line="254" w:lineRule="auto"/>
        <w:rPr>
          <w:sz w:val="20"/>
          <w:szCs w:val="20"/>
          <w:color w:val="auto"/>
        </w:rPr>
      </w:pPr>
      <w:r>
        <w:rPr>
          <w:rFonts w:ascii="Times New Roman" w:cs="Times New Roman" w:eastAsia="Times New Roman" w:hAnsi="Times New Roman"/>
          <w:sz w:val="22"/>
          <w:szCs w:val="22"/>
          <w:color w:val="auto"/>
        </w:rPr>
        <w:t>Participants eligible to receive incentive awards shall not have any right to pledge, assign, or otherwise dispose of any unpaid or projected awards.</w:t>
      </w:r>
    </w:p>
    <w:p>
      <w:pPr>
        <w:spacing w:after="0" w:line="2"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Deferral of Awards</w:t>
      </w:r>
    </w:p>
    <w:p>
      <w:pPr>
        <w:spacing w:after="0" w:line="250" w:lineRule="exact"/>
        <w:rPr>
          <w:sz w:val="20"/>
          <w:szCs w:val="20"/>
          <w:color w:val="auto"/>
        </w:rPr>
      </w:pPr>
    </w:p>
    <w:p>
      <w:pPr>
        <w:ind w:left="800" w:right="40" w:hanging="8"/>
        <w:spacing w:after="0" w:line="271" w:lineRule="auto"/>
        <w:rPr>
          <w:sz w:val="20"/>
          <w:szCs w:val="20"/>
          <w:color w:val="auto"/>
        </w:rPr>
      </w:pPr>
      <w:r>
        <w:rPr>
          <w:rFonts w:ascii="Times New Roman" w:cs="Times New Roman" w:eastAsia="Times New Roman" w:hAnsi="Times New Roman"/>
          <w:sz w:val="22"/>
          <w:szCs w:val="22"/>
          <w:color w:val="auto"/>
        </w:rPr>
        <w:t>Participants eligible to defer incentive awards through the Deferred Compensation Program (DCP) may elect to do so during the annual DCP enrollment.</w:t>
      </w:r>
    </w:p>
    <w:p>
      <w:pPr>
        <w:spacing w:after="0" w:line="185"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Clawback of Awards</w:t>
      </w:r>
    </w:p>
    <w:p>
      <w:pPr>
        <w:spacing w:after="0" w:line="260" w:lineRule="exact"/>
        <w:rPr>
          <w:sz w:val="20"/>
          <w:szCs w:val="20"/>
          <w:color w:val="auto"/>
        </w:rPr>
      </w:pPr>
    </w:p>
    <w:p>
      <w:pPr>
        <w:ind w:left="800" w:right="340" w:hanging="8"/>
        <w:spacing w:after="0" w:line="264" w:lineRule="auto"/>
        <w:rPr>
          <w:sz w:val="20"/>
          <w:szCs w:val="20"/>
          <w:color w:val="auto"/>
        </w:rPr>
      </w:pPr>
      <w:r>
        <w:rPr>
          <w:rFonts w:ascii="Times New Roman" w:cs="Times New Roman" w:eastAsia="Times New Roman" w:hAnsi="Times New Roman"/>
          <w:sz w:val="21"/>
          <w:szCs w:val="21"/>
          <w:color w:val="auto"/>
        </w:rPr>
        <w:t>By accepting any incentive award under the Plan, the participant acknowledges and agrees that any incentive compensation the participant is awarded is subject to the Hasbro, Inc. Clawback Policy, as it may be amended from time to time by the Board. Such acknowledgement and agreement is a material condition to receiving any incentive award under the Plan, which would not have been awarded to the participant otherwise.</w:t>
      </w:r>
    </w:p>
    <w:p>
      <w:pPr>
        <w:spacing w:after="0" w:line="1"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Stock Ownership</w:t>
      </w:r>
    </w:p>
    <w:p>
      <w:pPr>
        <w:spacing w:after="0" w:line="236" w:lineRule="exact"/>
        <w:rPr>
          <w:sz w:val="20"/>
          <w:szCs w:val="20"/>
          <w:color w:val="auto"/>
        </w:rPr>
      </w:pPr>
    </w:p>
    <w:p>
      <w:pPr>
        <w:jc w:val="both"/>
        <w:ind w:left="800"/>
        <w:spacing w:after="0" w:line="238" w:lineRule="auto"/>
        <w:rPr>
          <w:sz w:val="20"/>
          <w:szCs w:val="20"/>
          <w:color w:val="auto"/>
        </w:rPr>
      </w:pPr>
      <w:r>
        <w:rPr>
          <w:rFonts w:ascii="Times New Roman" w:cs="Times New Roman" w:eastAsia="Times New Roman" w:hAnsi="Times New Roman"/>
          <w:sz w:val="22"/>
          <w:szCs w:val="22"/>
          <w:color w:val="auto"/>
        </w:rPr>
        <w:t>Additionally, the participant acknowledges and agrees that if the participant is now, or becomes subject in the future to, the Hasbro, Inc. Executive Stock Ownership Policy, as it may be amended from time to time by the Board (the “Stock Ownership Policy”), then the receipt of any incentive award under the PRP is contingent upon the participant’s compliance with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 Failure to comply with the Stock Ownership Policy may, in the Company’s sole discretion, result in the reduction or total elimination of any incentive award that otherwise might be payable under the PRP and/or result in the Company determining to substitute other forms of compensation, such as equity, for any award the participant otherwise might have received under the PRP.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740"/>
          </w:cols>
          <w:pgMar w:left="820" w:top="77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Cocks, certify that:</w:t>
      </w:r>
    </w:p>
    <w:p>
      <w:pPr>
        <w:spacing w:after="0" w:line="185" w:lineRule="exact"/>
        <w:rPr>
          <w:sz w:val="20"/>
          <w:szCs w:val="20"/>
          <w:color w:val="auto"/>
        </w:rPr>
      </w:pPr>
    </w:p>
    <w:p>
      <w:pPr>
        <w:ind w:left="420" w:hanging="412"/>
        <w:spacing w:after="0"/>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00" w:right="140" w:hanging="244"/>
        <w:spacing w:after="0" w:line="266" w:lineRule="auto"/>
        <w:tabs>
          <w:tab w:leader="none" w:pos="8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89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00" w:right="140" w:hanging="244"/>
        <w:spacing w:after="0" w:line="266" w:lineRule="auto"/>
        <w:tabs>
          <w:tab w:leader="none" w:pos="8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October 31, 2024</w:t>
      </w:r>
    </w:p>
    <w:p>
      <w:pPr>
        <w:spacing w:after="0" w:line="1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auto"/>
        </w:rPr>
        <w:t>/s/ Chris Cocks</w:t>
      </w:r>
    </w:p>
    <w:p>
      <w:pPr>
        <w:spacing w:after="0" w:line="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Chris Cocks</w:t>
      </w:r>
    </w:p>
    <w:p>
      <w:pPr>
        <w:jc w:val="center"/>
        <w:ind w:right="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66"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Gina Goetter, certify that:</w:t>
      </w:r>
    </w:p>
    <w:p>
      <w:pPr>
        <w:spacing w:after="0" w:line="185" w:lineRule="exact"/>
        <w:rPr>
          <w:sz w:val="20"/>
          <w:szCs w:val="20"/>
          <w:color w:val="auto"/>
        </w:rPr>
      </w:pPr>
    </w:p>
    <w:p>
      <w:pPr>
        <w:ind w:left="420" w:hanging="412"/>
        <w:spacing w:after="0"/>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820" w:right="220" w:hanging="326"/>
        <w:spacing w:after="0" w:line="266" w:lineRule="auto"/>
        <w:tabs>
          <w:tab w:leader="none" w:pos="81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0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820" w:right="700" w:hanging="326"/>
        <w:spacing w:after="0" w:line="312" w:lineRule="auto"/>
        <w:tabs>
          <w:tab w:leader="none" w:pos="81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820" w:right="220" w:hanging="326"/>
        <w:spacing w:after="0" w:line="266" w:lineRule="auto"/>
        <w:tabs>
          <w:tab w:leader="none" w:pos="80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0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18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/s/ Gina Goetter</w:t>
      </w:r>
    </w:p>
    <w:p>
      <w:pPr>
        <w:spacing w:after="0" w:line="1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Gina Goetter</w:t>
      </w:r>
    </w:p>
    <w:p>
      <w:pPr>
        <w:ind w:left="61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p>
      <w:pPr>
        <w:sectPr>
          <w:pgSz w:w="11900" w:h="16838" w:orient="portrait"/>
          <w:cols w:equalWidth="0" w:num="1">
            <w:col w:w="11240"/>
          </w:cols>
          <w:pgMar w:left="320" w:top="106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49" w:lineRule="exact"/>
        <w:rPr>
          <w:sz w:val="20"/>
          <w:szCs w:val="20"/>
          <w:color w:val="auto"/>
        </w:rPr>
      </w:pPr>
    </w:p>
    <w:p>
      <w:pPr>
        <w:ind w:left="420" w:right="40" w:hanging="412"/>
        <w:spacing w:after="0" w:line="282" w:lineRule="auto"/>
        <w:tabs>
          <w:tab w:leader="none" w:pos="4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29, 2024,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u w:val="single" w:color="auto"/>
          <w:color w:val="auto"/>
        </w:rPr>
        <w:t>/s/ Chris Cocks</w:t>
      </w:r>
    </w:p>
    <w:p>
      <w:pPr>
        <w:ind w:left="2360"/>
        <w:spacing w:after="0" w:line="203" w:lineRule="auto"/>
        <w:rPr>
          <w:sz w:val="20"/>
          <w:szCs w:val="20"/>
          <w:color w:val="auto"/>
        </w:rPr>
      </w:pPr>
      <w:r>
        <w:rPr>
          <w:rFonts w:ascii="Times New Roman" w:cs="Times New Roman" w:eastAsia="Times New Roman" w:hAnsi="Times New Roman"/>
          <w:sz w:val="18"/>
          <w:szCs w:val="18"/>
          <w:color w:val="auto"/>
        </w:rPr>
        <w:t>Chris Cocks</w:t>
      </w:r>
    </w:p>
    <w:p>
      <w:pPr>
        <w:ind w:left="2360"/>
        <w:spacing w:after="0"/>
        <w:rPr>
          <w:sz w:val="20"/>
          <w:szCs w:val="20"/>
          <w:color w:val="auto"/>
        </w:rPr>
      </w:pPr>
      <w:r>
        <w:rPr>
          <w:rFonts w:ascii="Times New Roman" w:cs="Times New Roman" w:eastAsia="Times New Roman" w:hAnsi="Times New Roman"/>
          <w:sz w:val="18"/>
          <w:szCs w:val="18"/>
          <w:color w:val="auto"/>
        </w:rPr>
        <w:t>Chief Executive Officer of Hasbro, Inc.</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31, 2024</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49" w:lineRule="exact"/>
        <w:rPr>
          <w:sz w:val="20"/>
          <w:szCs w:val="20"/>
          <w:color w:val="auto"/>
        </w:rPr>
      </w:pPr>
    </w:p>
    <w:p>
      <w:pPr>
        <w:ind w:left="420" w:right="40" w:hanging="412"/>
        <w:spacing w:after="0" w:line="282" w:lineRule="auto"/>
        <w:tabs>
          <w:tab w:leader="none" w:pos="4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29, 2024,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u w:val="single" w:color="auto"/>
          <w:color w:val="auto"/>
        </w:rPr>
        <w:t>/s/ Gina Goetter</w:t>
      </w:r>
    </w:p>
    <w:p>
      <w:pPr>
        <w:ind w:left="3560"/>
        <w:spacing w:after="0" w:line="203" w:lineRule="auto"/>
        <w:rPr>
          <w:sz w:val="20"/>
          <w:szCs w:val="20"/>
          <w:color w:val="auto"/>
        </w:rPr>
      </w:pPr>
      <w:r>
        <w:rPr>
          <w:rFonts w:ascii="Times New Roman" w:cs="Times New Roman" w:eastAsia="Times New Roman" w:hAnsi="Times New Roman"/>
          <w:sz w:val="18"/>
          <w:szCs w:val="18"/>
          <w:color w:val="auto"/>
        </w:rPr>
        <w:t>Gina Goetter</w:t>
      </w:r>
    </w:p>
    <w:p>
      <w:pPr>
        <w:ind w:left="3560"/>
        <w:spacing w:after="0"/>
        <w:rPr>
          <w:sz w:val="20"/>
          <w:szCs w:val="20"/>
          <w:color w:val="auto"/>
        </w:rPr>
      </w:pPr>
      <w:r>
        <w:rPr>
          <w:rFonts w:ascii="Times New Roman" w:cs="Times New Roman" w:eastAsia="Times New Roman" w:hAnsi="Times New Roman"/>
          <w:sz w:val="18"/>
          <w:szCs w:val="18"/>
          <w:color w:val="auto"/>
        </w:rPr>
        <w:t>Chief Financial Officer and Chief Operating Officer of Hasbro, Inc.</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31, 2024</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3"/>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4"/>
    </w:lvl>
  </w:abstractNum>
  <w:abstractNum w:abstractNumId="13">
    <w:nsid w:val="7C3DBD3D"/>
    <w:multiLevelType w:val="hybridMultilevel"/>
    <w:lvl w:ilvl="0">
      <w:lvlJc w:val="left"/>
      <w:lvlText w:val="(%1)"/>
      <w:numFmt w:val="decimal"/>
      <w:start w:val="5"/>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6"/>
    </w:lvl>
  </w:abstractNum>
  <w:abstractNum w:abstractNumId="16">
    <w:nsid w:val="22221A70"/>
    <w:multiLevelType w:val="hybridMultilevel"/>
    <w:lvl w:ilvl="0">
      <w:lvlJc w:val="left"/>
      <w:lvlText w:val="(%1)"/>
      <w:numFmt w:val="decimal"/>
      <w:start w:val="7"/>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8"/>
    </w:lvl>
  </w:abstractNum>
  <w:abstractNum w:abstractNumId="19">
    <w:nsid w:val="614FD4A1"/>
    <w:multiLevelType w:val="hybridMultilevel"/>
    <w:lvl w:ilvl="0">
      <w:lvlJc w:val="left"/>
      <w:lvlText w:val="(%1)"/>
      <w:numFmt w:val="decimal"/>
      <w:start w:val="2"/>
    </w:lvl>
  </w:abstractNum>
  <w:abstractNum w:abstractNumId="20">
    <w:nsid w:val="419AC241"/>
    <w:multiLevelType w:val="hybridMultilevel"/>
    <w:lvl w:ilvl="0">
      <w:lvlJc w:val="left"/>
      <w:lvlText w:val="(%1)"/>
      <w:numFmt w:val="decimal"/>
      <w:start w:val="9"/>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0"/>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0"/>
    </w:lvl>
    <w:lvl w:ilvl="1">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2"/>
    </w:lvl>
  </w:abstractNum>
  <w:abstractNum w:abstractNumId="27">
    <w:nsid w:val="5C482A97"/>
    <w:multiLevelType w:val="hybridMultilevel"/>
    <w:lvl w:ilvl="0">
      <w:lvlJc w:val="left"/>
      <w:lvlText w:val="(%1)"/>
      <w:numFmt w:val="decimal"/>
      <w:start w:val="13"/>
    </w:lvl>
  </w:abstractNum>
  <w:abstractNum w:abstractNumId="28">
    <w:nsid w:val="2463B9EA"/>
    <w:multiLevelType w:val="hybridMultilevel"/>
    <w:lvl w:ilvl="0">
      <w:lvlJc w:val="left"/>
      <w:lvlText w:val="(%1)"/>
      <w:numFmt w:val="decimal"/>
      <w:start w:val="14"/>
    </w:lvl>
  </w:abstractNum>
  <w:abstractNum w:abstractNumId="29">
    <w:nsid w:val="5E884ADC"/>
    <w:multiLevelType w:val="hybridMultilevel"/>
    <w:lvl w:ilvl="0">
      <w:lvlJc w:val="left"/>
      <w:lvlText w:val="(%1)"/>
      <w:numFmt w:val="decimal"/>
      <w:start w:val="15"/>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lowerRoman"/>
      <w:start w:val="1"/>
    </w:lvl>
  </w:abstractNum>
  <w:abstractNum w:abstractNumId="38">
    <w:nsid w:val="1D4ED43B"/>
    <w:multiLevelType w:val="hybridMultilevel"/>
    <w:lvl w:ilvl="0">
      <w:lvlJc w:val="left"/>
      <w:lvlText w:val="(%1)"/>
      <w:numFmt w:val="lowerRoman"/>
      <w:start w:val="1"/>
    </w:lvl>
  </w:abstractNum>
  <w:abstractNum w:abstractNumId="39">
    <w:nsid w:val="725A06FB"/>
    <w:multiLevelType w:val="hybridMultilevel"/>
    <w:lvl w:ilvl="0">
      <w:lvlJc w:val="left"/>
      <w:lvlText w:val="(%1)"/>
      <w:numFmt w:val="lowerRoman"/>
      <w:start w:val="2"/>
    </w:lvl>
  </w:abstractNum>
  <w:abstractNum w:abstractNumId="40">
    <w:nsid w:val="2CD89A32"/>
    <w:multiLevelType w:val="hybridMultilevel"/>
    <w:lvl w:ilvl="0">
      <w:lvlJc w:val="left"/>
      <w:lvlText w:val="(%1)"/>
      <w:numFmt w:val="lowerRoman"/>
      <w:start w:val="1"/>
    </w:lvl>
  </w:abstractNum>
  <w:abstractNum w:abstractNumId="41">
    <w:nsid w:val="57E4CCAF"/>
    <w:multiLevelType w:val="hybridMultilevel"/>
    <w:lvl w:ilvl="0">
      <w:lvlJc w:val="left"/>
      <w:lvlText w:val="(%1)"/>
      <w:numFmt w:val="lowerRoman"/>
      <w:start w:val="1"/>
    </w:lvl>
  </w:abstractNum>
  <w:abstractNum w:abstractNumId="42">
    <w:nsid w:val="7A6D8D3C"/>
    <w:multiLevelType w:val="hybridMultilevel"/>
    <w:lvl w:ilvl="0">
      <w:lvlJc w:val="left"/>
      <w:lvlText w:val="(%1)"/>
      <w:numFmt w:val="lowerRoman"/>
      <w:start w:val="2"/>
    </w:lvl>
  </w:abstractNum>
  <w:abstractNum w:abstractNumId="43">
    <w:nsid w:val="4B588F54"/>
    <w:multiLevelType w:val="hybridMultilevel"/>
    <w:lvl w:ilvl="0">
      <w:lvlJc w:val="left"/>
      <w:lvlText w:val="(%1)"/>
      <w:numFmt w:val="lowerRoman"/>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53" Type="http://schemas.openxmlformats.org/officeDocument/2006/relationships/hyperlink" Target="https://www.sec.gov/Archives/edgar/data/46080/000004608000000013/0000046080-00-000013-0002.txt" TargetMode="External"/><Relationship Id="rId54" Type="http://schemas.openxmlformats.org/officeDocument/2006/relationships/hyperlink" Target="https://www.sec.gov/Archives/edgar/data/46080/000004608000000013/0000046080-00-000013-0005.txt" TargetMode="External"/><Relationship Id="rId55" Type="http://schemas.openxmlformats.org/officeDocument/2006/relationships/hyperlink" Target="https://www.sec.gov/Archives/edgar/data/46080/000004608003000022/ex3-3q203.htm" TargetMode="External"/><Relationship Id="rId56" Type="http://schemas.openxmlformats.org/officeDocument/2006/relationships/hyperlink" Target="https://www.sec.gov/Archives/edgar/data/46080/000004608022000109/hasbro-secondamendedandres.htm" TargetMode="External"/><Relationship Id="rId57" Type="http://schemas.openxmlformats.org/officeDocument/2006/relationships/hyperlink" Target="https://www.sec.gov/Archives/edgar/data/46080/000004608000000013/0000046080-00-000013-0003.txt" TargetMode="External"/><Relationship Id="rId58" Type="http://schemas.openxmlformats.org/officeDocument/2006/relationships/hyperlink" Target="https://www.sec.gov/Archives/edgar/data/46080/000004608000000013/0000046080-00-000013-0004.txt" TargetMode="External"/><Relationship Id="rId59" Type="http://schemas.openxmlformats.org/officeDocument/2006/relationships/hyperlink" Target="https://www.sec.gov/Archives/edgar/data/46080/0000950172-98-000702.txt" TargetMode="External"/><Relationship Id="rId60" Type="http://schemas.openxmlformats.org/officeDocument/2006/relationships/hyperlink" Target="https://www.sec.gov/Archives/edgar/data/46080/000004608000000003/0000046080-00-000003.txt" TargetMode="External"/><Relationship Id="rId61" Type="http://schemas.openxmlformats.org/officeDocument/2006/relationships/hyperlink" Target="https://www.sec.gov/Archives/edgar/data/46080/000095013507005709/b66906hbexv4w1.htm" TargetMode="External"/><Relationship Id="rId62" Type="http://schemas.openxmlformats.org/officeDocument/2006/relationships/hyperlink" Target="https://www.sec.gov/Archives/edgar/data/46080/000095013509003948/b75462hiexv4w1.htm" TargetMode="External"/><Relationship Id="rId63" Type="http://schemas.openxmlformats.org/officeDocument/2006/relationships/hyperlink" Target="https://www.sec.gov/Archives/edgar/data/46080/000095012310023420/b80058exv4w1.htm" TargetMode="External"/><Relationship Id="rId64" Type="http://schemas.openxmlformats.org/officeDocument/2006/relationships/hyperlink" Target="https://www.sec.gov/Archives/edgar/data/46080/000119312514196726/d727293dex41.htm" TargetMode="External"/><Relationship Id="rId65" Type="http://schemas.openxmlformats.org/officeDocument/2006/relationships/hyperlink" Target="https://www.sec.gov/Archives/edgar/data/46080/000119312517283854/d456734dex41.htm" TargetMode="External"/><Relationship Id="rId66" Type="http://schemas.openxmlformats.org/officeDocument/2006/relationships/hyperlink" Target="https://www.sec.gov/Archives/edgar/data/46080/000119312519295544/d822953dex12.htm" TargetMode="External"/><Relationship Id="rId67" Type="http://schemas.openxmlformats.org/officeDocument/2006/relationships/hyperlink" Target="https://www.sec.gov/Archives/edgar/data/46080/000119312524138322/d83868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2024-10-31T15:35:10Z</dcterms:created>
  <dcterms:modified xsi:type="dcterms:W3CDTF">2024-10-31T15:35:10Z</dcterms:modified>
</cp:coreProperties>
</file>