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26,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4"/>
          <w:szCs w:val="24"/>
          <w:color w:val="auto"/>
        </w:rPr>
      </w:pPr>
    </w:p>
    <w:p>
      <w:pPr>
        <w:ind w:left="4360" w:right="1400" w:hanging="4136"/>
        <w:spacing w:after="0" w:line="375" w:lineRule="auto"/>
        <w:tabs>
          <w:tab w:leader="none" w:pos="6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1-6682</w:t>
      </w:r>
    </w:p>
    <w:p>
      <w:pPr>
        <w:spacing w:after="0" w:line="1" w:lineRule="exact"/>
        <w:rPr>
          <w:rFonts w:ascii="MS PGothic" w:cs="MS PGothic" w:eastAsia="MS PGothic" w:hAnsi="MS PGothic"/>
          <w:sz w:val="18"/>
          <w:szCs w:val="18"/>
          <w:color w:val="auto"/>
        </w:rPr>
      </w:pPr>
    </w:p>
    <w:p>
      <w:pPr>
        <w:ind w:left="4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__________________</w:t>
      </w:r>
    </w:p>
    <w:p>
      <w:pPr>
        <w:spacing w:after="0" w:line="1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HASBRO,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988" w:right="399" w:bottom="1440" w:gutter="0" w:footer="0" w:header="0"/>
        </w:sectPr>
      </w:pPr>
    </w:p>
    <w:p>
      <w:pPr>
        <w:spacing w:after="0" w:line="2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Rhode Island</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05-0155090</w:t>
      </w:r>
    </w:p>
    <w:p>
      <w:pPr>
        <w:spacing w:after="0" w:line="65" w:lineRule="exact"/>
        <w:rPr>
          <w:sz w:val="24"/>
          <w:szCs w:val="24"/>
          <w:color w:val="auto"/>
        </w:rPr>
      </w:pPr>
    </w:p>
    <w:p>
      <w:pPr>
        <w:sectPr>
          <w:pgSz w:w="11900" w:h="16838" w:orient="portrait"/>
          <w:cols w:equalWidth="0" w:num="2">
            <w:col w:w="7220" w:space="720"/>
            <w:col w:w="3240"/>
          </w:cols>
          <w:pgMar w:left="320" w:top="988" w:right="39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40" w:lineRule="exact"/>
        <w:rPr>
          <w:sz w:val="24"/>
          <w:szCs w:val="24"/>
          <w:color w:val="auto"/>
        </w:rPr>
      </w:pPr>
    </w:p>
    <w:p>
      <w:pPr>
        <w:sectPr>
          <w:pgSz w:w="11900" w:h="16838" w:orient="portrait"/>
          <w:cols w:equalWidth="0" w:num="2">
            <w:col w:w="6340" w:space="720"/>
            <w:col w:w="4120"/>
          </w:cols>
          <w:pgMar w:left="320" w:top="988" w:right="39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1027 Newport Avenue</w:t>
      </w:r>
    </w:p>
    <w:p>
      <w:pPr>
        <w:sectPr>
          <w:pgSz w:w="11900" w:h="16838" w:orient="portrait"/>
          <w:cols w:equalWidth="0" w:num="1">
            <w:col w:w="11180"/>
          </w:cols>
          <w:pgMar w:left="320" w:top="988" w:right="399" w:bottom="1440" w:gutter="0" w:footer="0" w:header="0"/>
          <w:type w:val="continuous"/>
        </w:sectPr>
      </w:pPr>
    </w:p>
    <w:p>
      <w:pPr>
        <w:spacing w:after="0" w:line="6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Pawtucket, Rhode Island</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02861</w:t>
      </w:r>
    </w:p>
    <w:p>
      <w:pPr>
        <w:spacing w:after="0" w:line="54" w:lineRule="exact"/>
        <w:rPr>
          <w:sz w:val="24"/>
          <w:szCs w:val="24"/>
          <w:color w:val="auto"/>
        </w:rPr>
      </w:pPr>
    </w:p>
    <w:p>
      <w:pPr>
        <w:sectPr>
          <w:pgSz w:w="11900" w:h="16838" w:orient="portrait"/>
          <w:cols w:equalWidth="0" w:num="2">
            <w:col w:w="7420" w:space="720"/>
            <w:col w:w="3040"/>
          </w:cols>
          <w:pgMar w:left="320" w:top="988" w:right="3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65" w:lineRule="exact"/>
        <w:rPr>
          <w:sz w:val="24"/>
          <w:szCs w:val="24"/>
          <w:color w:val="auto"/>
        </w:rPr>
      </w:pPr>
    </w:p>
    <w:p>
      <w:pPr>
        <w:sectPr>
          <w:pgSz w:w="11900" w:h="16838" w:orient="portrait"/>
          <w:cols w:equalWidth="0" w:num="2">
            <w:col w:w="7260" w:space="720"/>
            <w:col w:w="3200"/>
          </w:cols>
          <w:pgMar w:left="320" w:top="988"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(401) 431-8697</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4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88" w:right="399" w:bottom="1440" w:gutter="0" w:footer="0" w:header="0"/>
          <w:type w:val="continuous"/>
        </w:sectPr>
      </w:pPr>
    </w:p>
    <w:p>
      <w:pPr>
        <w:spacing w:after="0" w:line="1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sectPr>
          <w:pgSz w:w="11900" w:h="16838" w:orient="portrait"/>
          <w:cols w:equalWidth="0" w:num="3">
            <w:col w:w="4200" w:space="720"/>
            <w:col w:w="1640" w:space="720"/>
            <w:col w:w="3900"/>
          </w:cols>
          <w:pgMar w:left="320" w:top="988" w:right="39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b w:val="1"/>
          <w:bCs w:val="1"/>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p>
      <w:pPr>
        <w:spacing w:after="0" w:line="151" w:lineRule="exact"/>
        <w:rPr>
          <w:sz w:val="24"/>
          <w:szCs w:val="24"/>
          <w:color w:val="auto"/>
        </w:rPr>
      </w:pPr>
    </w:p>
    <w:p>
      <w:pPr>
        <w:sectPr>
          <w:pgSz w:w="11900" w:h="16838" w:orient="portrait"/>
          <w:cols w:equalWidth="0" w:num="3">
            <w:col w:w="4700" w:space="720"/>
            <w:col w:w="1480" w:space="720"/>
            <w:col w:w="3560"/>
          </w:cols>
          <w:pgMar w:left="320" w:top="988" w:right="399" w:bottom="1440" w:gutter="0" w:footer="0" w:header="0"/>
          <w:type w:val="continuous"/>
        </w:sect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7" w:lineRule="exact"/>
        <w:rPr>
          <w:sz w:val="24"/>
          <w:szCs w:val="24"/>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3" w:lineRule="exact"/>
        <w:rPr>
          <w:sz w:val="24"/>
          <w:szCs w:val="24"/>
          <w:color w:val="auto"/>
        </w:rPr>
      </w:pPr>
    </w:p>
    <w:p>
      <w:pPr>
        <w:ind w:right="10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320"/>
              <w:spacing w:after="0"/>
              <w:rPr>
                <w:sz w:val="20"/>
                <w:szCs w:val="20"/>
                <w:color w:val="auto"/>
              </w:rPr>
            </w:pPr>
            <w:r>
              <w:rPr>
                <w:rFonts w:ascii="Arial" w:cs="Arial" w:eastAsia="Arial" w:hAnsi="Arial"/>
                <w:sz w:val="18"/>
                <w:szCs w:val="18"/>
                <w:color w:val="auto"/>
              </w:rPr>
              <w:t>x</w:t>
            </w: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180" w:firstLine="567"/>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2" w:lineRule="exact"/>
        <w:rPr>
          <w:sz w:val="24"/>
          <w:szCs w:val="24"/>
          <w:color w:val="auto"/>
        </w:rPr>
      </w:pPr>
    </w:p>
    <w:p>
      <w:pPr>
        <w:ind w:left="580"/>
        <w:spacing w:after="0" w:line="207" w:lineRule="exact"/>
        <w:tabs>
          <w:tab w:leader="none" w:pos="91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[x]</w:t>
      </w:r>
    </w:p>
    <w:p>
      <w:pPr>
        <w:spacing w:after="0" w:line="2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number of shares of Common Stock, par value $.50 per share, outstanding as of July 19, 2022 was 138,091,266.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8"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Forward Looking Statement Safe Harbor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529"/>
        </w:rPr>
        <w:t>Certain statements in this Form 10-Q contain "forward-looking statements" within the meaning of the Private Securities Litigation Reform Act of 1995. These statements, which may be identified by the use of forward-looking words or phrases, include statements relating to: our business strategies; the ability to achieve our financial and business goals and objectives; anticipated financial performance or business prospects in future periods; our expectations relating to our accelerated inventory purchases and supply of products; the expected timing for scheduled new product introductions or our expectations concerning the future acceptance of products by customers; expected benefits and plans relating to acquired brands, properties and businesses; the development and timing of planned consumer and digital gaming products and entertainment releases; marketing and promotional efforts; research and development activities; the impact of the coronavirus pandemic and other public health conditions on our business; actions taken to mitigate the impact of inflation; capital expenditures; working capital; liquidity; financing sources; timing of and amount of repayment of indebtedness; capital allocation strategy, including plans for dividends and share repurchases; and other financial, tax, accounting and similar matters. Our actual actions or results may differ materially from those expected or anticipated in the forward-looking statements due to both known and unknown risks and uncertainties. Factors that might cause such a difference include, but are not limited to:</w:t>
      </w:r>
    </w:p>
    <w:p>
      <w:pPr>
        <w:spacing w:after="0" w:line="1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design, develop, manufacture, and ship products on a timely, cost-effective and profitable basis;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execute on our brand blueprint strategy, including focus on and scale select business initiatives and brands to drive profitability;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grow our digital gaming and consumer direct businesses;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build on multi-generational brands;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develop and timely distribute engaging storytelling across media to drive brand awareness;</w:t>
      </w:r>
    </w:p>
    <w:p>
      <w:pPr>
        <w:spacing w:after="0" w:line="130"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navigate through inflation and 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132"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evolve and transform our business and capabilities to address a changing global consumer landscape and retail environment, including due to consumer preferences, changing inventory and sales policies and practices of our customers and increased emphasis on ecommerce;</w:t>
      </w:r>
    </w:p>
    <w:p>
      <w:pPr>
        <w:spacing w:after="0" w:line="12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implement strategies to lessen the impact of any increased shipping costs, shipping delays or changes in required methods of shipping, as well as our ability to take any price increases to offset increased shipping costs, increases in prices of raw materials or other increases in costs of our products;</w:t>
      </w:r>
    </w:p>
    <w:p>
      <w:pPr>
        <w:spacing w:after="0" w:line="132"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other economic and public health conditions or regulatory changes in the markets in which we and our customers, partners, licensees, suppliers and manufacturers operate, such as inflation, rising interest rates, higher commodity prices, labor costs or transportation costs, or outbreaks of disease, the occurrence of which could create work slowdowns, delays or shortages in production or shipment of products, increases in costs or delays in revenue;</w:t>
      </w:r>
    </w:p>
    <w:p>
      <w:pPr>
        <w:spacing w:after="0" w:line="127"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compete in the global play and entertainment industry, including with manufacturers, marketers, and sellers of toys and games, digital gaming products and digital media, as well as with film studios, television production companies and independent distributors and content producers;</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dependence on third party relationships, including with third party manufacturers, licensors of brands, studios, content producers and entertainment distribution channels;</w:t>
      </w:r>
    </w:p>
    <w:p>
      <w:pPr>
        <w:spacing w:after="0" w:line="132"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12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develop and continue to execute plans to mitigate the negative impact of the coronavirus on our business, including, without limitation, negative impacts to our supply chain and costs that have occurred and could continue to occur in countries where we source significant quantities of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international operations, such as currency conversion, currency fluctuations, the imposition of tariffs, quotas, shipping delays or difficulties, border adjustment taxes or other protectionist measures, and other challenges in the territories in which we operate,</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continuing impact of the crisis between Russia and Ukraine on our business, including lost revenue and collection of receivables;</w:t>
      </w:r>
    </w:p>
    <w:p>
      <w:pPr>
        <w:spacing w:after="0" w:line="130"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our business due to seasonality;</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bankruptcy or other lack of success of one or more of our significant retailers, licensees and other partners;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leadership changes;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attract and retain talented and diverse employees;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realize the benefits of cost-savings and efficiency and/or revenue enhancing initiatives;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impairment and/or write-offs of products and content we acquire and produce;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investments, acquisitions and dispositions, including the ability to realize the anticipated benefits of acquired assets or businesses;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risk of product recalls or product liability suits and costs associated with product safety regulations;</w:t>
      </w:r>
    </w:p>
    <w:p>
      <w:pPr>
        <w:spacing w:after="0" w:line="130"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or regulations, or the interpretation and application of such laws and regulations, which may cause us to alter tax reserves or make other changes which significantly impact our reported financial results;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litigation or arbitration decisions or settlement actions; and</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other risks and uncertainties as may be detailed from time to time in our public announcements and U.S. Securities and Exchange Commission (“SEC”) filings.</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(Millions of Dollars Except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p>
      <w:pPr>
        <w:jc w:val="right"/>
        <w:ind w:right="180"/>
        <w:spacing w:after="0"/>
        <w:tabs>
          <w:tab w:leader="none" w:pos="2180" w:val="left"/>
          <w:tab w:leader="none" w:pos="940" w:val="left"/>
        </w:tabs>
        <w:rPr>
          <w:sz w:val="20"/>
          <w:szCs w:val="20"/>
          <w:color w:val="auto"/>
        </w:rPr>
      </w:pPr>
      <w:r>
        <w:rPr>
          <w:rFonts w:ascii="Times New Roman" w:cs="Times New Roman" w:eastAsia="Times New Roman" w:hAnsi="Times New Roman"/>
          <w:sz w:val="16"/>
          <w:szCs w:val="16"/>
          <w:b w:val="1"/>
          <w:bCs w:val="1"/>
          <w:color w:val="auto"/>
        </w:rPr>
        <w:t>June 26,</w:t>
      </w:r>
      <w:r>
        <w:rPr>
          <w:sz w:val="20"/>
          <w:szCs w:val="20"/>
          <w:color w:val="auto"/>
        </w:rPr>
        <w:tab/>
      </w:r>
      <w:r>
        <w:rPr>
          <w:rFonts w:ascii="Times New Roman" w:cs="Times New Roman" w:eastAsia="Times New Roman" w:hAnsi="Times New Roman"/>
          <w:sz w:val="16"/>
          <w:szCs w:val="16"/>
          <w:b w:val="1"/>
          <w:bCs w:val="1"/>
          <w:color w:val="auto"/>
        </w:rPr>
        <w:t>June 27,</w:t>
      </w:r>
      <w:r>
        <w:rPr>
          <w:sz w:val="20"/>
          <w:szCs w:val="20"/>
          <w:color w:val="auto"/>
        </w:rPr>
        <w:tab/>
      </w:r>
      <w:r>
        <w:rPr>
          <w:rFonts w:ascii="Times New Roman" w:cs="Times New Roman" w:eastAsia="Times New Roman" w:hAnsi="Times New Roman"/>
          <w:sz w:val="16"/>
          <w:szCs w:val="16"/>
          <w:b w:val="1"/>
          <w:bCs w:val="1"/>
          <w:color w:val="auto"/>
        </w:rPr>
        <w:t>December 26,</w:t>
      </w:r>
    </w:p>
    <w:p>
      <w:pPr>
        <w:ind w:left="7520"/>
        <w:spacing w:after="0"/>
        <w:tabs>
          <w:tab w:leader="none" w:pos="8920" w:val="left"/>
          <w:tab w:leader="none" w:pos="103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628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ectPr>
          <w:pgSz w:w="11900" w:h="16838" w:orient="portrait"/>
          <w:cols w:equalWidth="0" w:num="1">
            <w:col w:w="11200"/>
          </w:cols>
          <w:pgMar w:left="320" w:top="1062" w:right="37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$41.9 million, $83.1 million and</w:t>
      </w:r>
    </w:p>
    <w:p>
      <w:pPr>
        <w:spacing w:after="0" w:line="27" w:lineRule="exact"/>
        <w:rPr>
          <w:sz w:val="20"/>
          <w:szCs w:val="20"/>
          <w:color w:val="auto"/>
        </w:rPr>
      </w:pPr>
    </w:p>
    <w:p>
      <w:pPr>
        <w:ind w:left="560"/>
        <w:spacing w:after="0"/>
        <w:tabs>
          <w:tab w:leader="none" w:pos="7020" w:val="left"/>
        </w:tabs>
        <w:rPr>
          <w:sz w:val="20"/>
          <w:szCs w:val="20"/>
          <w:color w:val="auto"/>
        </w:rPr>
      </w:pPr>
      <w:r>
        <w:rPr>
          <w:rFonts w:ascii="Times New Roman" w:cs="Times New Roman" w:eastAsia="Times New Roman" w:hAnsi="Times New Roman"/>
          <w:sz w:val="18"/>
          <w:szCs w:val="18"/>
          <w:color w:val="auto"/>
        </w:rPr>
        <w:t>$35.8 million</w:t>
      </w:r>
      <w:r>
        <w:rPr>
          <w:sz w:val="20"/>
          <w:szCs w:val="20"/>
          <w:color w:val="auto"/>
        </w:rPr>
        <w:tab/>
      </w:r>
      <w:r>
        <w:rPr>
          <w:rFonts w:ascii="Times New Roman" w:cs="Times New Roman" w:eastAsia="Times New Roman" w:hAnsi="Times New Roman"/>
          <w:sz w:val="16"/>
          <w:szCs w:val="16"/>
          <w:color w:val="auto"/>
        </w:rPr>
        <w:t>$</w:t>
      </w:r>
    </w:p>
    <w:p>
      <w:pPr>
        <w:spacing w:after="0" w:line="45" w:lineRule="exact"/>
        <w:rPr>
          <w:sz w:val="20"/>
          <w:szCs w:val="20"/>
          <w:color w:val="auto"/>
        </w:rPr>
      </w:pPr>
    </w:p>
    <w:p>
      <w:pPr>
        <w:ind w:left="720" w:right="280" w:hanging="323"/>
        <w:spacing w:after="0" w:line="273" w:lineRule="auto"/>
        <w:rPr>
          <w:sz w:val="20"/>
          <w:szCs w:val="20"/>
          <w:color w:val="auto"/>
        </w:rPr>
      </w:pPr>
      <w:r>
        <w:rPr>
          <w:rFonts w:ascii="Times New Roman" w:cs="Times New Roman" w:eastAsia="Times New Roman" w:hAnsi="Times New Roman"/>
          <w:sz w:val="18"/>
          <w:szCs w:val="18"/>
          <w:color w:val="auto"/>
        </w:rPr>
        <w:t>Accounts receivable, less allowance for doubtful accounts of $24.9 million, $30.5 million and $22.9 million</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Assets held for sale</w:t>
      </w:r>
    </w:p>
    <w:p>
      <w:pPr>
        <w:spacing w:after="0" w:line="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16" w:lineRule="exact"/>
        <w:rPr>
          <w:sz w:val="20"/>
          <w:szCs w:val="20"/>
          <w:color w:val="auto"/>
        </w:rPr>
      </w:pPr>
    </w:p>
    <w:p>
      <w:pPr>
        <w:ind w:left="180" w:right="220" w:hanging="161"/>
        <w:spacing w:after="0" w:line="273" w:lineRule="auto"/>
        <w:rPr>
          <w:sz w:val="20"/>
          <w:szCs w:val="20"/>
          <w:color w:val="auto"/>
        </w:rPr>
      </w:pPr>
      <w:r>
        <w:rPr>
          <w:rFonts w:ascii="Times New Roman" w:cs="Times New Roman" w:eastAsia="Times New Roman" w:hAnsi="Times New Roman"/>
          <w:sz w:val="18"/>
          <w:szCs w:val="18"/>
          <w:color w:val="auto"/>
        </w:rPr>
        <w:t>Property, plant and equipment, less accumulated depreciation of $644.2 million, $589.1 million and $630.0 million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Goodwill</w:t>
      </w:r>
    </w:p>
    <w:p>
      <w:pPr>
        <w:spacing w:after="0" w:line="31" w:lineRule="exact"/>
        <w:rPr>
          <w:sz w:val="20"/>
          <w:szCs w:val="20"/>
          <w:color w:val="auto"/>
        </w:rPr>
      </w:pPr>
    </w:p>
    <w:p>
      <w:pPr>
        <w:ind w:left="720" w:right="480" w:hanging="278"/>
        <w:spacing w:after="0" w:line="273" w:lineRule="auto"/>
        <w:rPr>
          <w:sz w:val="20"/>
          <w:szCs w:val="20"/>
          <w:color w:val="auto"/>
        </w:rPr>
      </w:pPr>
      <w:r>
        <w:rPr>
          <w:rFonts w:ascii="Times New Roman" w:cs="Times New Roman" w:eastAsia="Times New Roman" w:hAnsi="Times New Roman"/>
          <w:sz w:val="18"/>
          <w:szCs w:val="18"/>
          <w:color w:val="auto"/>
        </w:rPr>
        <w:t>Other intangible assets, net of accumulated amortization of $1,089.4 million, $1,002.5 million and $1,050.4 million</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628.2</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r>
      <w:tr>
        <w:trPr>
          <w:trHeight w:val="481"/>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870.5</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w:t>
            </w:r>
          </w:p>
        </w:tc>
      </w:tr>
      <w:tr>
        <w:trPr>
          <w:trHeight w:val="23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867.5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r>
      <w:tr>
        <w:trPr>
          <w:trHeight w:val="234"/>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719.2</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r>
      <w:tr>
        <w:trPr>
          <w:trHeight w:val="27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3,085.4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w:t>
            </w:r>
          </w:p>
        </w:tc>
      </w:tr>
      <w:tr>
        <w:trPr>
          <w:trHeight w:val="481"/>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409.9</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w:t>
            </w:r>
          </w:p>
        </w:tc>
      </w:tr>
      <w:tr>
        <w:trPr>
          <w:trHeight w:val="439"/>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3,483.2</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3,419.6</w:t>
            </w:r>
          </w:p>
        </w:tc>
      </w:tr>
      <w:tr>
        <w:trPr>
          <w:trHeight w:val="481"/>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1,156.9</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r>
      <w:tr>
        <w:trPr>
          <w:trHeight w:val="234"/>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1,367.6</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-745490</wp:posOffset>
            </wp:positionV>
            <wp:extent cx="840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-1207770</wp:posOffset>
            </wp:positionV>
            <wp:extent cx="840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20" w:space="600"/>
            <w:col w:w="3480"/>
          </w:cols>
          <w:pgMar w:left="320" w:top="1062" w:right="3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other assets</w:t>
            </w: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5,888.6</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LIABILITIES, NONCONTROLLING INTERESTS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062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Short-term borrowings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Current portion of long-term debt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Liabilities held for sale</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tabs>
          <w:tab w:leader="none" w:pos="900" w:val="left"/>
          <w:tab w:leader="none" w:pos="1400" w:val="left"/>
          <w:tab w:leader="none" w:pos="2420" w:val="left"/>
          <w:tab w:leader="none" w:pos="2840" w:val="left"/>
          <w:tab w:leader="none" w:pos="3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98.0</w:t>
        <w:tab/>
        <w:t>$</w:t>
      </w:r>
      <w:r>
        <w:rPr>
          <w:sz w:val="20"/>
          <w:szCs w:val="20"/>
          <w:color w:val="auto"/>
        </w:rPr>
        <w:tab/>
      </w:r>
      <w:r>
        <w:rPr>
          <w:rFonts w:ascii="Times New Roman" w:cs="Times New Roman" w:eastAsia="Times New Roman" w:hAnsi="Times New Roman"/>
          <w:sz w:val="18"/>
          <w:szCs w:val="18"/>
          <w:color w:val="auto"/>
        </w:rPr>
        <w:t>0.8</w:t>
        <w:tab/>
        <w:t>$</w:t>
      </w:r>
      <w:r>
        <w:rPr>
          <w:sz w:val="20"/>
          <w:szCs w:val="20"/>
          <w:color w:val="auto"/>
        </w:rPr>
        <w:tab/>
      </w:r>
      <w:r>
        <w:rPr>
          <w:rFonts w:ascii="Times New Roman" w:cs="Times New Roman" w:eastAsia="Times New Roman" w:hAnsi="Times New Roman"/>
          <w:sz w:val="17"/>
          <w:szCs w:val="17"/>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Times New Roman" w:cs="Times New Roman" w:eastAsia="Times New Roman" w:hAnsi="Times New Roman"/>
          <w:sz w:val="18"/>
          <w:szCs w:val="18"/>
          <w:color w:val="auto"/>
        </w:rPr>
        <w:t>137.0</w:t>
      </w:r>
      <w:r>
        <w:rPr>
          <w:sz w:val="20"/>
          <w:szCs w:val="20"/>
          <w:color w:val="auto"/>
        </w:rPr>
        <w:tab/>
      </w:r>
      <w:r>
        <w:rPr>
          <w:rFonts w:ascii="Times New Roman" w:cs="Times New Roman" w:eastAsia="Times New Roman" w:hAnsi="Times New Roman"/>
          <w:sz w:val="18"/>
          <w:szCs w:val="18"/>
          <w:color w:val="auto"/>
        </w:rPr>
        <w:t>189.6</w:t>
      </w:r>
      <w:r>
        <w:rPr>
          <w:sz w:val="20"/>
          <w:szCs w:val="20"/>
          <w:color w:val="auto"/>
        </w:rPr>
        <w:tab/>
      </w:r>
      <w:r>
        <w:rPr>
          <w:rFonts w:ascii="Times New Roman" w:cs="Times New Roman" w:eastAsia="Times New Roman" w:hAnsi="Times New Roman"/>
          <w:sz w:val="17"/>
          <w:szCs w:val="17"/>
          <w:color w:val="auto"/>
        </w:rPr>
        <w:t>200.1</w:t>
      </w:r>
    </w:p>
    <w:p>
      <w:pPr>
        <w:spacing w:after="0" w:line="6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Times New Roman" w:cs="Times New Roman" w:eastAsia="Times New Roman" w:hAnsi="Times New Roman"/>
          <w:sz w:val="18"/>
          <w:szCs w:val="18"/>
          <w:color w:val="auto"/>
        </w:rPr>
        <w:t>543.8</w:t>
      </w:r>
      <w:r>
        <w:rPr>
          <w:sz w:val="20"/>
          <w:szCs w:val="20"/>
          <w:color w:val="auto"/>
        </w:rPr>
        <w:tab/>
      </w:r>
      <w:r>
        <w:rPr>
          <w:rFonts w:ascii="Times New Roman" w:cs="Times New Roman" w:eastAsia="Times New Roman" w:hAnsi="Times New Roman"/>
          <w:sz w:val="18"/>
          <w:szCs w:val="18"/>
          <w:color w:val="auto"/>
        </w:rPr>
        <w:t>382.4</w:t>
      </w:r>
      <w:r>
        <w:rPr>
          <w:sz w:val="20"/>
          <w:szCs w:val="20"/>
          <w:color w:val="auto"/>
        </w:rPr>
        <w:tab/>
      </w:r>
      <w:r>
        <w:rPr>
          <w:rFonts w:ascii="Times New Roman" w:cs="Times New Roman" w:eastAsia="Times New Roman" w:hAnsi="Times New Roman"/>
          <w:sz w:val="17"/>
          <w:szCs w:val="17"/>
          <w:color w:val="auto"/>
        </w:rPr>
        <w:t>580.2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71062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940" w:val="left"/>
          <w:tab w:leader="none" w:pos="520" w:val="left"/>
        </w:tabs>
        <w:rPr>
          <w:sz w:val="20"/>
          <w:szCs w:val="20"/>
          <w:color w:val="auto"/>
        </w:rPr>
      </w:pPr>
      <w:r>
        <w:rPr>
          <w:rFonts w:ascii="Times New Roman" w:cs="Times New Roman" w:eastAsia="Times New Roman" w:hAnsi="Times New Roman"/>
          <w:sz w:val="18"/>
          <w:szCs w:val="18"/>
          <w:color w:val="auto"/>
        </w:rPr>
        <w:t>1,379.4</w:t>
      </w:r>
      <w:r>
        <w:rPr>
          <w:sz w:val="20"/>
          <w:szCs w:val="20"/>
          <w:color w:val="auto"/>
        </w:rPr>
        <w:tab/>
      </w:r>
      <w:r>
        <w:rPr>
          <w:rFonts w:ascii="Times New Roman" w:cs="Times New Roman" w:eastAsia="Times New Roman" w:hAnsi="Times New Roman"/>
          <w:sz w:val="18"/>
          <w:szCs w:val="18"/>
          <w:color w:val="auto"/>
        </w:rPr>
        <w:t>1,396.5</w:t>
      </w:r>
      <w:r>
        <w:rPr>
          <w:sz w:val="20"/>
          <w:szCs w:val="20"/>
          <w:color w:val="auto"/>
        </w:rPr>
        <w:tab/>
      </w:r>
      <w:r>
        <w:rPr>
          <w:rFonts w:ascii="Times New Roman" w:cs="Times New Roman" w:eastAsia="Times New Roman" w:hAnsi="Times New Roman"/>
          <w:sz w:val="18"/>
          <w:szCs w:val="18"/>
          <w:color w:val="auto"/>
        </w:rPr>
        <w:t>1,674.8</w:t>
      </w:r>
    </w:p>
    <w:p>
      <w:pPr>
        <w:spacing w:after="0" w:line="63" w:lineRule="exact"/>
        <w:rPr>
          <w:sz w:val="20"/>
          <w:szCs w:val="20"/>
          <w:color w:val="auto"/>
        </w:rPr>
      </w:pPr>
    </w:p>
    <w:p>
      <w:pPr>
        <w:jc w:val="both"/>
        <w:ind w:left="1040"/>
        <w:spacing w:after="0"/>
        <w:tabs>
          <w:tab w:leader="none" w:pos="2320" w:val="left"/>
          <w:tab w:leader="none" w:pos="3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76.3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940" w:val="left"/>
          <w:tab w:leader="none" w:pos="520" w:val="left"/>
        </w:tabs>
        <w:rPr>
          <w:sz w:val="20"/>
          <w:szCs w:val="20"/>
          <w:color w:val="auto"/>
        </w:rPr>
      </w:pPr>
      <w:r>
        <w:rPr>
          <w:rFonts w:ascii="Times New Roman" w:cs="Times New Roman" w:eastAsia="Times New Roman" w:hAnsi="Times New Roman"/>
          <w:sz w:val="18"/>
          <w:szCs w:val="18"/>
          <w:color w:val="auto"/>
        </w:rPr>
        <w:t>2,158.2</w:t>
      </w:r>
      <w:r>
        <w:rPr>
          <w:sz w:val="20"/>
          <w:szCs w:val="20"/>
          <w:color w:val="auto"/>
        </w:rPr>
        <w:tab/>
      </w:r>
      <w:r>
        <w:rPr>
          <w:rFonts w:ascii="Times New Roman" w:cs="Times New Roman" w:eastAsia="Times New Roman" w:hAnsi="Times New Roman"/>
          <w:sz w:val="18"/>
          <w:szCs w:val="18"/>
          <w:color w:val="auto"/>
        </w:rPr>
        <w:t>2,045.6</w:t>
      </w:r>
      <w:r>
        <w:rPr>
          <w:sz w:val="20"/>
          <w:szCs w:val="20"/>
          <w:color w:val="auto"/>
        </w:rPr>
        <w:tab/>
      </w:r>
      <w:r>
        <w:rPr>
          <w:rFonts w:ascii="Times New Roman" w:cs="Times New Roman" w:eastAsia="Times New Roman" w:hAnsi="Times New Roman"/>
          <w:sz w:val="18"/>
          <w:szCs w:val="18"/>
          <w:color w:val="auto"/>
        </w:rPr>
        <w:t>2,455.9</w:t>
      </w:r>
    </w:p>
    <w:p>
      <w:pPr>
        <w:spacing w:after="0" w:line="63" w:lineRule="exact"/>
        <w:rPr>
          <w:sz w:val="20"/>
          <w:szCs w:val="20"/>
          <w:color w:val="auto"/>
        </w:rPr>
      </w:pPr>
    </w:p>
    <w:p>
      <w:pPr>
        <w:jc w:val="right"/>
        <w:ind w:right="80"/>
        <w:spacing w:after="0"/>
        <w:tabs>
          <w:tab w:leader="none" w:pos="1940" w:val="left"/>
          <w:tab w:leader="none" w:pos="520" w:val="left"/>
        </w:tabs>
        <w:rPr>
          <w:sz w:val="20"/>
          <w:szCs w:val="20"/>
          <w:color w:val="auto"/>
        </w:rPr>
      </w:pPr>
      <w:r>
        <w:rPr>
          <w:rFonts w:ascii="Times New Roman" w:cs="Times New Roman" w:eastAsia="Times New Roman" w:hAnsi="Times New Roman"/>
          <w:sz w:val="18"/>
          <w:szCs w:val="18"/>
          <w:color w:val="auto"/>
        </w:rPr>
        <w:t>3,739.0</w:t>
      </w:r>
      <w:r>
        <w:rPr>
          <w:sz w:val="20"/>
          <w:szCs w:val="20"/>
          <w:color w:val="auto"/>
        </w:rPr>
        <w:tab/>
      </w:r>
      <w:r>
        <w:rPr>
          <w:rFonts w:ascii="Times New Roman" w:cs="Times New Roman" w:eastAsia="Times New Roman" w:hAnsi="Times New Roman"/>
          <w:sz w:val="18"/>
          <w:szCs w:val="18"/>
          <w:color w:val="auto"/>
        </w:rPr>
        <w:t>4,388.7</w:t>
      </w:r>
      <w:r>
        <w:rPr>
          <w:sz w:val="20"/>
          <w:szCs w:val="20"/>
          <w:color w:val="auto"/>
        </w:rPr>
        <w:tab/>
      </w:r>
      <w:r>
        <w:rPr>
          <w:rFonts w:ascii="Times New Roman" w:cs="Times New Roman" w:eastAsia="Times New Roman" w:hAnsi="Times New Roman"/>
          <w:sz w:val="18"/>
          <w:szCs w:val="18"/>
          <w:color w:val="auto"/>
        </w:rPr>
        <w:t>3,824.2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71062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Times New Roman" w:cs="Times New Roman" w:eastAsia="Times New Roman" w:hAnsi="Times New Roman"/>
          <w:sz w:val="18"/>
          <w:szCs w:val="18"/>
          <w:color w:val="auto"/>
        </w:rPr>
        <w:t>570.0</w:t>
      </w:r>
      <w:r>
        <w:rPr>
          <w:sz w:val="20"/>
          <w:szCs w:val="20"/>
          <w:color w:val="auto"/>
        </w:rPr>
        <w:tab/>
      </w:r>
      <w:r>
        <w:rPr>
          <w:rFonts w:ascii="Times New Roman" w:cs="Times New Roman" w:eastAsia="Times New Roman" w:hAnsi="Times New Roman"/>
          <w:sz w:val="18"/>
          <w:szCs w:val="18"/>
          <w:color w:val="auto"/>
        </w:rPr>
        <w:t>753.0</w:t>
      </w:r>
      <w:r>
        <w:rPr>
          <w:sz w:val="20"/>
          <w:szCs w:val="20"/>
          <w:color w:val="auto"/>
        </w:rPr>
        <w:tab/>
      </w:r>
      <w:r>
        <w:rPr>
          <w:rFonts w:ascii="Times New Roman" w:cs="Times New Roman" w:eastAsia="Times New Roman" w:hAnsi="Times New Roman"/>
          <w:sz w:val="17"/>
          <w:szCs w:val="17"/>
          <w:color w:val="auto"/>
        </w:rPr>
        <w:t>670.7</w:t>
      </w:r>
    </w:p>
    <w:p>
      <w:pPr>
        <w:spacing w:after="0" w:line="27" w:lineRule="exact"/>
        <w:rPr>
          <w:sz w:val="20"/>
          <w:szCs w:val="20"/>
          <w:color w:val="auto"/>
        </w:rPr>
      </w:pPr>
    </w:p>
    <w:p>
      <w:pPr>
        <w:sectPr>
          <w:pgSz w:w="11900" w:h="16838" w:orient="portrait"/>
          <w:cols w:equalWidth="0" w:num="2">
            <w:col w:w="6320" w:space="720"/>
            <w:col w:w="4160"/>
          </w:cols>
          <w:pgMar w:left="320" w:top="1062"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6,467.2</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7,187.3</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6,950.8</w:t>
            </w:r>
          </w:p>
        </w:tc>
      </w:tr>
      <w:tr>
        <w:trPr>
          <w:trHeight w:val="25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9" w:lineRule="exact"/>
        <w:rPr>
          <w:sz w:val="20"/>
          <w:szCs w:val="20"/>
          <w:color w:val="auto"/>
        </w:rPr>
      </w:pPr>
    </w:p>
    <w:p>
      <w:pPr>
        <w:sectPr>
          <w:pgSz w:w="11900" w:h="16838" w:orient="portrait"/>
          <w:cols w:equalWidth="0" w:num="1">
            <w:col w:w="11200"/>
          </w:cols>
          <w:pgMar w:left="320" w:top="1062"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Preference stock of $2.50 par value. Authorized 5,000,000 shares; none issued</w:t>
      </w:r>
    </w:p>
    <w:p>
      <w:pPr>
        <w:spacing w:after="0" w:line="63" w:lineRule="exact"/>
        <w:rPr>
          <w:sz w:val="20"/>
          <w:szCs w:val="20"/>
          <w:color w:val="auto"/>
        </w:rPr>
      </w:pPr>
    </w:p>
    <w:p>
      <w:pPr>
        <w:ind w:left="720" w:right="280" w:hanging="323"/>
        <w:spacing w:after="0" w:line="281" w:lineRule="auto"/>
        <w:rPr>
          <w:sz w:val="20"/>
          <w:szCs w:val="20"/>
          <w:color w:val="auto"/>
        </w:rPr>
      </w:pPr>
      <w:r>
        <w:rPr>
          <w:rFonts w:ascii="Times New Roman" w:cs="Times New Roman" w:eastAsia="Times New Roman" w:hAnsi="Times New Roman"/>
          <w:sz w:val="18"/>
          <w:szCs w:val="18"/>
          <w:color w:val="auto"/>
        </w:rPr>
        <w:t>Common stock of $0.50 par value. Authorized 600,000,000 shares; issued 220,286,736 shares at June 26, 2022, June 27, 2021, and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63" w:lineRule="exact"/>
        <w:rPr>
          <w:sz w:val="20"/>
          <w:szCs w:val="20"/>
          <w:color w:val="auto"/>
        </w:rPr>
      </w:pPr>
    </w:p>
    <w:p>
      <w:pPr>
        <w:ind w:left="720" w:right="100" w:hanging="323"/>
        <w:spacing w:after="0" w:line="281" w:lineRule="auto"/>
        <w:rPr>
          <w:sz w:val="20"/>
          <w:szCs w:val="20"/>
          <w:color w:val="auto"/>
        </w:rPr>
      </w:pPr>
      <w:r>
        <w:rPr>
          <w:rFonts w:ascii="Times New Roman" w:cs="Times New Roman" w:eastAsia="Times New Roman" w:hAnsi="Times New Roman"/>
          <w:sz w:val="18"/>
          <w:szCs w:val="18"/>
          <w:color w:val="auto"/>
        </w:rPr>
        <w:t>Treasury stock, at cost; 82,199,298 shares at June 26, 2022; 82,617,426 shares at June 27, 2021; and 82,066,136 shares at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20"/>
        <w:spacing w:after="0"/>
        <w:tabs>
          <w:tab w:leader="none" w:pos="1840" w:val="left"/>
          <w:tab w:leader="none" w:pos="3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200"/>
        <w:spacing w:after="0"/>
        <w:tabs>
          <w:tab w:leader="none" w:pos="1620" w:val="left"/>
          <w:tab w:leader="none" w:pos="3040" w:val="left"/>
        </w:tabs>
        <w:rPr>
          <w:sz w:val="20"/>
          <w:szCs w:val="20"/>
          <w:color w:val="auto"/>
        </w:rPr>
      </w:pP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7"/>
          <w:szCs w:val="17"/>
          <w:color w:val="auto"/>
        </w:rPr>
        <w:t>110.1</w:t>
      </w:r>
    </w:p>
    <w:p>
      <w:pPr>
        <w:spacing w:after="0" w:line="63" w:lineRule="exact"/>
        <w:rPr>
          <w:sz w:val="20"/>
          <w:szCs w:val="20"/>
          <w:color w:val="auto"/>
        </w:rPr>
      </w:pPr>
    </w:p>
    <w:p>
      <w:pPr>
        <w:ind w:left="60"/>
        <w:spacing w:after="0"/>
        <w:tabs>
          <w:tab w:leader="none" w:pos="1480" w:val="left"/>
          <w:tab w:leader="none" w:pos="2900" w:val="left"/>
        </w:tabs>
        <w:rPr>
          <w:sz w:val="20"/>
          <w:szCs w:val="20"/>
          <w:color w:val="auto"/>
        </w:rPr>
      </w:pPr>
      <w:r>
        <w:rPr>
          <w:rFonts w:ascii="Times New Roman" w:cs="Times New Roman" w:eastAsia="Times New Roman" w:hAnsi="Times New Roman"/>
          <w:sz w:val="18"/>
          <w:szCs w:val="18"/>
          <w:color w:val="auto"/>
        </w:rPr>
        <w:t>2,503.4</w:t>
      </w:r>
      <w:r>
        <w:rPr>
          <w:sz w:val="20"/>
          <w:szCs w:val="20"/>
          <w:color w:val="auto"/>
        </w:rPr>
        <w:tab/>
      </w:r>
      <w:r>
        <w:rPr>
          <w:rFonts w:ascii="Times New Roman" w:cs="Times New Roman" w:eastAsia="Times New Roman" w:hAnsi="Times New Roman"/>
          <w:sz w:val="18"/>
          <w:szCs w:val="18"/>
          <w:color w:val="auto"/>
        </w:rPr>
        <w:t>2,361.2</w:t>
      </w:r>
      <w:r>
        <w:rPr>
          <w:sz w:val="20"/>
          <w:szCs w:val="20"/>
          <w:color w:val="auto"/>
        </w:rPr>
        <w:tab/>
      </w:r>
      <w:r>
        <w:rPr>
          <w:rFonts w:ascii="Times New Roman" w:cs="Times New Roman" w:eastAsia="Times New Roman" w:hAnsi="Times New Roman"/>
          <w:sz w:val="18"/>
          <w:szCs w:val="18"/>
          <w:color w:val="auto"/>
        </w:rPr>
        <w:t>2,428.0</w:t>
      </w:r>
    </w:p>
    <w:p>
      <w:pPr>
        <w:spacing w:after="0" w:line="63" w:lineRule="exact"/>
        <w:rPr>
          <w:sz w:val="20"/>
          <w:szCs w:val="20"/>
          <w:color w:val="auto"/>
        </w:rPr>
      </w:pPr>
    </w:p>
    <w:p>
      <w:pPr>
        <w:ind w:left="60"/>
        <w:spacing w:after="0"/>
        <w:tabs>
          <w:tab w:leader="none" w:pos="1480" w:val="left"/>
          <w:tab w:leader="none" w:pos="2900" w:val="left"/>
        </w:tabs>
        <w:rPr>
          <w:sz w:val="20"/>
          <w:szCs w:val="20"/>
          <w:color w:val="auto"/>
        </w:rPr>
      </w:pPr>
      <w:r>
        <w:rPr>
          <w:rFonts w:ascii="Times New Roman" w:cs="Times New Roman" w:eastAsia="Times New Roman" w:hAnsi="Times New Roman"/>
          <w:sz w:val="18"/>
          <w:szCs w:val="18"/>
          <w:color w:val="auto"/>
        </w:rPr>
        <w:t>4,265.9</w:t>
      </w:r>
      <w:r>
        <w:rPr>
          <w:sz w:val="20"/>
          <w:szCs w:val="20"/>
          <w:color w:val="auto"/>
        </w:rPr>
        <w:tab/>
      </w:r>
      <w:r>
        <w:rPr>
          <w:rFonts w:ascii="Times New Roman" w:cs="Times New Roman" w:eastAsia="Times New Roman" w:hAnsi="Times New Roman"/>
          <w:sz w:val="18"/>
          <w:szCs w:val="18"/>
          <w:color w:val="auto"/>
        </w:rPr>
        <w:t>4,110.3</w:t>
      </w:r>
      <w:r>
        <w:rPr>
          <w:sz w:val="20"/>
          <w:szCs w:val="20"/>
          <w:color w:val="auto"/>
        </w:rPr>
        <w:tab/>
      </w:r>
      <w:r>
        <w:rPr>
          <w:rFonts w:ascii="Times New Roman" w:cs="Times New Roman" w:eastAsia="Times New Roman" w:hAnsi="Times New Roman"/>
          <w:sz w:val="18"/>
          <w:szCs w:val="18"/>
          <w:color w:val="auto"/>
        </w:rPr>
        <w:t>4,257.8</w:t>
      </w:r>
    </w:p>
    <w:p>
      <w:pPr>
        <w:spacing w:after="0" w:line="63" w:lineRule="exact"/>
        <w:rPr>
          <w:sz w:val="20"/>
          <w:szCs w:val="20"/>
          <w:color w:val="auto"/>
        </w:rPr>
      </w:pPr>
    </w:p>
    <w:p>
      <w:pPr>
        <w:ind w:left="120"/>
        <w:spacing w:after="0"/>
        <w:tabs>
          <w:tab w:leader="none" w:pos="1540" w:val="left"/>
          <w:tab w:leader="none" w:pos="2960" w:val="left"/>
        </w:tabs>
        <w:rPr>
          <w:sz w:val="20"/>
          <w:szCs w:val="20"/>
          <w:color w:val="auto"/>
        </w:rPr>
      </w:pPr>
      <w:r>
        <w:rPr>
          <w:rFonts w:ascii="Times New Roman" w:cs="Times New Roman" w:eastAsia="Times New Roman" w:hAnsi="Times New Roman"/>
          <w:sz w:val="18"/>
          <w:szCs w:val="18"/>
          <w:color w:val="auto"/>
        </w:rPr>
        <w:t>(259.6)</w:t>
      </w:r>
      <w:r>
        <w:rPr>
          <w:sz w:val="20"/>
          <w:szCs w:val="20"/>
          <w:color w:val="auto"/>
        </w:rPr>
        <w:tab/>
      </w:r>
      <w:r>
        <w:rPr>
          <w:rFonts w:ascii="Times New Roman" w:cs="Times New Roman" w:eastAsia="Times New Roman" w:hAnsi="Times New Roman"/>
          <w:sz w:val="18"/>
          <w:szCs w:val="18"/>
          <w:color w:val="auto"/>
        </w:rPr>
        <w:t>(183.5)</w:t>
      </w:r>
      <w:r>
        <w:rPr>
          <w:sz w:val="20"/>
          <w:szCs w:val="20"/>
          <w:color w:val="auto"/>
        </w:rPr>
        <w:tab/>
      </w:r>
      <w:r>
        <w:rPr>
          <w:rFonts w:ascii="Times New Roman" w:cs="Times New Roman" w:eastAsia="Times New Roman" w:hAnsi="Times New Roman"/>
          <w:sz w:val="18"/>
          <w:szCs w:val="18"/>
          <w:color w:val="auto"/>
        </w:rPr>
        <w:t>(235.3)</w:t>
      </w:r>
    </w:p>
    <w:p>
      <w:pPr>
        <w:spacing w:after="0" w:line="279" w:lineRule="exact"/>
        <w:rPr>
          <w:sz w:val="20"/>
          <w:szCs w:val="20"/>
          <w:color w:val="auto"/>
        </w:rPr>
      </w:pPr>
    </w:p>
    <w:p>
      <w:pPr>
        <w:spacing w:after="0"/>
        <w:tabs>
          <w:tab w:leader="none" w:pos="1400" w:val="left"/>
          <w:tab w:leader="none" w:pos="2840" w:val="left"/>
        </w:tabs>
        <w:rPr>
          <w:sz w:val="20"/>
          <w:szCs w:val="20"/>
          <w:color w:val="auto"/>
        </w:rPr>
      </w:pPr>
      <w:r>
        <w:rPr>
          <w:rFonts w:ascii="Times New Roman" w:cs="Times New Roman" w:eastAsia="Times New Roman" w:hAnsi="Times New Roman"/>
          <w:sz w:val="18"/>
          <w:szCs w:val="18"/>
          <w:color w:val="auto"/>
        </w:rPr>
        <w:t>(3,636.2)</w:t>
      </w:r>
      <w:r>
        <w:rPr>
          <w:sz w:val="20"/>
          <w:szCs w:val="20"/>
          <w:color w:val="auto"/>
        </w:rPr>
        <w:tab/>
      </w:r>
      <w:r>
        <w:rPr>
          <w:rFonts w:ascii="Times New Roman" w:cs="Times New Roman" w:eastAsia="Times New Roman" w:hAnsi="Times New Roman"/>
          <w:sz w:val="18"/>
          <w:szCs w:val="18"/>
          <w:color w:val="auto"/>
        </w:rPr>
        <w:t>(3,547.6)</w:t>
      </w:r>
      <w:r>
        <w:rPr>
          <w:sz w:val="20"/>
          <w:szCs w:val="20"/>
          <w:color w:val="auto"/>
        </w:rPr>
        <w:tab/>
      </w:r>
      <w:r>
        <w:rPr>
          <w:rFonts w:ascii="Times New Roman" w:cs="Times New Roman" w:eastAsia="Times New Roman" w:hAnsi="Times New Roman"/>
          <w:sz w:val="18"/>
          <w:szCs w:val="18"/>
          <w:color w:val="auto"/>
        </w:rPr>
        <w:t>(3,534.7)</w:t>
      </w:r>
    </w:p>
    <w:p>
      <w:pPr>
        <w:spacing w:after="0" w:line="63" w:lineRule="exact"/>
        <w:rPr>
          <w:sz w:val="20"/>
          <w:szCs w:val="20"/>
          <w:color w:val="auto"/>
        </w:rPr>
      </w:pPr>
    </w:p>
    <w:p>
      <w:pPr>
        <w:ind w:left="300"/>
        <w:spacing w:after="0"/>
        <w:tabs>
          <w:tab w:leader="none" w:pos="1700" w:val="left"/>
          <w:tab w:leader="none" w:pos="31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39.9</w:t>
      </w:r>
      <w:r>
        <w:rPr>
          <w:sz w:val="20"/>
          <w:szCs w:val="20"/>
          <w:color w:val="auto"/>
        </w:rPr>
        <w:tab/>
      </w:r>
      <w:r>
        <w:rPr>
          <w:rFonts w:ascii="Times New Roman" w:cs="Times New Roman" w:eastAsia="Times New Roman" w:hAnsi="Times New Roman"/>
          <w:sz w:val="17"/>
          <w:szCs w:val="17"/>
          <w:color w:val="auto"/>
        </w:rPr>
        <w:t>37.2</w:t>
      </w:r>
    </w:p>
    <w:p>
      <w:pPr>
        <w:spacing w:after="0" w:line="27" w:lineRule="exact"/>
        <w:rPr>
          <w:sz w:val="20"/>
          <w:szCs w:val="20"/>
          <w:color w:val="auto"/>
        </w:rPr>
      </w:pPr>
    </w:p>
    <w:p>
      <w:pPr>
        <w:sectPr>
          <w:pgSz w:w="11900" w:h="16838" w:orient="portrait"/>
          <w:cols w:equalWidth="0" w:num="2">
            <w:col w:w="6940" w:space="720"/>
            <w:col w:w="3540"/>
          </w:cols>
          <w:pgMar w:left="320" w:top="1062"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3,063.1</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 noncontrolling interests and shareholders' equity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20" w:top="1062"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60" w:type="dxa"/>
            <w:vAlign w:val="bottom"/>
          </w:tcPr>
          <w:p>
            <w:pPr>
              <w:spacing w:after="0"/>
              <w:rPr>
                <w:sz w:val="16"/>
                <w:szCs w:val="16"/>
                <w:color w:val="auto"/>
              </w:rPr>
            </w:pPr>
          </w:p>
        </w:tc>
        <w:tc>
          <w:tcPr>
            <w:tcW w:w="25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8"/>
        </w:trPr>
        <w:tc>
          <w:tcPr>
            <w:tcW w:w="5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June 26,</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1"/>
              <w:spacing w:after="0" w:line="129" w:lineRule="exact"/>
              <w:rPr>
                <w:sz w:val="20"/>
                <w:szCs w:val="20"/>
                <w:color w:val="auto"/>
              </w:rPr>
            </w:pPr>
            <w:r>
              <w:rPr>
                <w:rFonts w:ascii="Times New Roman" w:cs="Times New Roman" w:eastAsia="Times New Roman" w:hAnsi="Times New Roman"/>
                <w:sz w:val="14"/>
                <w:szCs w:val="14"/>
                <w:b w:val="1"/>
                <w:bCs w:val="1"/>
                <w:color w:val="auto"/>
              </w:rPr>
              <w:t>June 27,</w:t>
            </w:r>
          </w:p>
        </w:tc>
        <w:tc>
          <w:tcPr>
            <w:tcW w:w="4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June 26,</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1"/>
              <w:spacing w:after="0" w:line="129" w:lineRule="exact"/>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5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r>
      <w:tr>
        <w:trPr>
          <w:trHeight w:val="229"/>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30"/>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9"/>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30"/>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9"/>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r>
      <w:tr>
        <w:trPr>
          <w:trHeight w:val="230"/>
        </w:trPr>
        <w:tc>
          <w:tcPr>
            <w:tcW w:w="53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9"/>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3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53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Hasbro,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5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5"/>
        </w:trPr>
        <w:tc>
          <w:tcPr>
            <w:tcW w:w="53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00" w:type="dxa"/>
            <w:vAlign w:val="bottom"/>
          </w:tcPr>
          <w:p>
            <w:pPr>
              <w:ind w:left="80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44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40" w:type="dxa"/>
            <w:vAlign w:val="bottom"/>
          </w:tcPr>
          <w:p>
            <w:pPr>
              <w:spacing w:after="0"/>
              <w:rPr>
                <w:sz w:val="16"/>
                <w:szCs w:val="16"/>
                <w:color w:val="auto"/>
              </w:rPr>
            </w:pPr>
          </w:p>
        </w:tc>
        <w:tc>
          <w:tcPr>
            <w:tcW w:w="228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28"/>
        </w:trPr>
        <w:tc>
          <w:tcPr>
            <w:tcW w:w="6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June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73"/>
              <w:spacing w:after="0" w:line="129" w:lineRule="exact"/>
              <w:rPr>
                <w:sz w:val="20"/>
                <w:szCs w:val="20"/>
                <w:color w:val="auto"/>
              </w:rPr>
            </w:pPr>
            <w:r>
              <w:rPr>
                <w:rFonts w:ascii="Times New Roman" w:cs="Times New Roman" w:eastAsia="Times New Roman" w:hAnsi="Times New Roman"/>
                <w:sz w:val="14"/>
                <w:szCs w:val="14"/>
                <w:b w:val="1"/>
                <w:bCs w:val="1"/>
                <w:color w:val="auto"/>
              </w:rPr>
              <w:t>June 27,</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June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6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Unrealized holding gains (losses) on available-for-sale securities, net of tax</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gains (losses) on cash flow hedging activities,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Reclassifications to earnings, net of tax:</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1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Net gains (losses) on cash flow hedging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1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Amortization of unrecognized pension and postretirement amounts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earnings (loss),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(loss) attributable to noncontrolling interests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attributable to Hasbro,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9"/>
        </w:trPr>
        <w:tc>
          <w:tcPr>
            <w:tcW w:w="8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June 26,</w:t>
            </w:r>
          </w:p>
        </w:tc>
        <w:tc>
          <w:tcPr>
            <w:tcW w:w="260" w:type="dxa"/>
            <w:vAlign w:val="bottom"/>
          </w:tcPr>
          <w:p>
            <w:pPr>
              <w:spacing w:after="0"/>
              <w:rPr>
                <w:sz w:val="11"/>
                <w:szCs w:val="11"/>
                <w:color w:val="auto"/>
              </w:rPr>
            </w:pPr>
          </w:p>
        </w:tc>
        <w:tc>
          <w:tcPr>
            <w:tcW w:w="1060" w:type="dxa"/>
            <w:vAlign w:val="bottom"/>
          </w:tcPr>
          <w:p>
            <w:pPr>
              <w:jc w:val="right"/>
              <w:ind w:right="311"/>
              <w:spacing w:after="0" w:line="129" w:lineRule="exact"/>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non-cash items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operating assets and liabilities net of acquired balances: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inventories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Program spend,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net deemed repatriation tax</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4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4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utilized by investing activities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Proceeds from borrowings with maturity greater than three months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Repayments of borrowings with maturity greater than three months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proceeds from other short-term borrowings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transactions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84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utilized by financing activities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due to cash classified as held for sale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 June 26, 2022</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98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27,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2,475.7</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4,220.9</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(3,513.8)</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2"/>
                <w:szCs w:val="12"/>
                <w:color w:val="auto"/>
              </w:rPr>
            </w:pP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put option value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owners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26,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3,012.8</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 June 27, 2021</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98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28,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2,339.6</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(3,550.6)</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Net loss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noncontrolling owners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27,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2,890.4</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2"/>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26, 2022</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0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1"/>
                <w:szCs w:val="11"/>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960" w:type="dxa"/>
            <w:vAlign w:val="bottom"/>
          </w:tcPr>
          <w:p>
            <w:pPr>
              <w:jc w:val="center"/>
              <w:ind w:right="28"/>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26,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2,428.0</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(3,534.7)</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3,063.1</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9"/>
        </w:trPr>
        <w:tc>
          <w:tcPr>
            <w:tcW w:w="18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tcPr>
          <w:p>
            <w:pPr>
              <w:spacing w:after="0"/>
              <w:rPr>
                <w:sz w:val="12"/>
                <w:szCs w:val="12"/>
                <w:color w:val="auto"/>
              </w:rPr>
            </w:pPr>
          </w:p>
        </w:tc>
        <w:tc>
          <w:tcPr>
            <w:tcW w:w="14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put option value</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26,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3,012.8</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27, 2021</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0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960" w:type="dxa"/>
            <w:vAlign w:val="bottom"/>
          </w:tcPr>
          <w:p>
            <w:pPr>
              <w:jc w:val="center"/>
              <w:ind w:right="28"/>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27,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2,329.1</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4,204.2</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(3,551.7)</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2,936.7</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39"/>
        </w:trPr>
        <w:tc>
          <w:tcPr>
            <w:tcW w:w="18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Net earnings attributable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 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Net earnings attributable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 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3"/>
        </w:trPr>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27,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2,890.4</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0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June 26, 2022 and June 27, 2021,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quarters ended June 26, 2022 and June 27, 2021 were each 13-week periods. The six-month periods ended June 26, 2022 and June 27, 2021 were each 26-week periods.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quarter ended June 26, 2022 are not necessarily indicative of results to be expected for the full year 2022, nor were those of the comparable 2021 period representative of those actually experienced for the full year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1 to the consolidated financial statements included in the Company's Annual Report on Form 10-K for the year ended December 26, 2021 ("2021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D&amp;D Beyond Acquisition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19, 2022, the Company acquired D&amp;D Beyond, a strategic, complementary acquisition of the premier digital content platform for DUNGEONS &amp; DRAGONS, which is expected to substantially accelerate our direct-to-fans capability for DUNGEONS &amp; DRAGONS in physical and digital play. The all-cash transaction in the amount of $146.3 million was funded with cash on hand. The preliminary allocation of assets acquired includes $81.4 million to intangible assets, $64.7 million to goodwill, with the remainder allocated to property, plant, and equipment, all of which are included in the Company's consolidated balance sheets as of June 26,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eOne Music Sale</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29, 2021, the Company completed the sale of eOne Music for net proceeds of $397.0 million, including the sales price of $385.0 million and $12.0 million of closing adjustments related to working capital and net debt calculations. The final proceeds were subject to further adjustment upon completion of closing working capital, which resulted in a net outflow of $0.9 million in the fourth quarter of 2021. Based on the value of the net assets held by eOne Music, which included goodwill and intangible assets allocated to eOne Music as part of the eOne Acquisition, the Company recorded a pre-tax non-cash goodwill impairment charge of $101.8 million within Loss on Assets Held for Sale on the consolidated statements of operations for the quarter ended June 27, 2021. The Company also recorded pre-tax cash transaction expenses of $9.5 million within Selling, Distribution and Administration expenses on the consolidated statements of operations for the quarter ended June 27, 2021. The impairment charge was recorded within the Entertainment segment and the transaction costs were recorded within the Corporate and Other segment. Fiscal year 2021 includes two quarters of financial results for the eOne Music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Equivalent Units</w:t>
      </w:r>
    </w:p>
    <w:p>
      <w:pPr>
        <w:spacing w:after="0" w:line="1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Beginning with employee stock incentive awards granted in 2022, the payment of cash dividends to shareholders also results in the crediting of Dividend Equivalent Units (“DEUs”) to holders of restricted stock units ("RSUs") and contingent stock performance awards ("PSUs") granted under the Company's Restated 2003 Stock Incentive Plan, as amended, for employees as defined and described in Note 15 in the Company's Annual Report on Form 10-K for the year ended December 26, 2021. The DEUs will be credited as additional RSUs or PSUs and settled concurrently with the vesting of associated awards. The forfeitable DEUs and dividends payable in cash are treated as a reduction of retained earnings or, if the Company is in a retained deficit position, as a reduction of additional paid-in capital.</w:t>
      </w:r>
    </w:p>
    <w:p>
      <w:pPr>
        <w:spacing w:after="0" w:line="9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 w:name="page11"/>
    <w:bookmarkEnd w:id="1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2021 in its 2021 Form 10-K, which includes all such information and disclosures and, accordingly, should be read in conjunction with the financial information included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26, 2022, there were no recently adopted accounting standards that had a material effect on the Company’s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Accounting Pronouncements</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March of 2020, the FASB issued Accounting Standards Update No. 2020-04 (ASU 2020-04) Reference Rate Reform (Topic 848): </w:t>
      </w:r>
      <w:r>
        <w:rPr>
          <w:rFonts w:ascii="Times New Roman" w:cs="Times New Roman" w:eastAsia="Times New Roman" w:hAnsi="Times New Roman"/>
          <w:sz w:val="18"/>
          <w:szCs w:val="18"/>
          <w:i w:val="1"/>
          <w:iCs w:val="1"/>
          <w:color w:val="auto"/>
        </w:rPr>
        <w:t>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Reference Rate Reform on Financial Reporting. </w:t>
      </w:r>
      <w:r>
        <w:rPr>
          <w:rFonts w:ascii="Times New Roman" w:cs="Times New Roman" w:eastAsia="Times New Roman" w:hAnsi="Times New Roman"/>
          <w:sz w:val="18"/>
          <w:szCs w:val="18"/>
          <w:color w:val="auto"/>
        </w:rPr>
        <w:t>The amendments in this update provide optional expedients and exceptions for applying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change from LIBOR to an alternate rate has not had a material impact on the Company's consolidated financial statements.</w:t>
      </w:r>
    </w:p>
    <w:p>
      <w:pPr>
        <w:spacing w:after="0" w:line="14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Assets and Liabilities</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the Company’s Consumer Products, Wizards of the Coast and Digital Gaming and Entertainment segments enter into contracts to license certain of the Company’s intellectual property, providing licensees right-to-use access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or through in-application purchases. These digital gaming revenues are recognized over a period of time, determined based on player usage patterns or the estimated playing life of the user or when additional downloadable content is made available.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in the case of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26, 2022, June 27, 2021 and December 26, 2021 the Company had the following contract assets and liabilities in its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50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 assets - current</w:t>
            </w:r>
          </w:p>
        </w:tc>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 - long term</w:t>
            </w:r>
          </w:p>
        </w:tc>
        <w:tc>
          <w:tcPr>
            <w:tcW w:w="1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ind w:right="14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567.9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7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liabilities - long term</w:t>
            </w:r>
          </w:p>
        </w:tc>
        <w:tc>
          <w:tcPr>
            <w:tcW w:w="1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six months ended June 26, 2022, the Company collected $3.8 million of the contract assets and recognized $48.7 million of contract liabilities that were included in the December 26, 2021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Unsatisfied performance obligations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June 26, 2022, unrecognized revenue attributable to unsatisfied performance obligations expected to be recognized in the future were $313.1 million. Of this amount, we expect to recognize $187.4 million in the remainder of 2022, $109.4 million in 2023, $7.2 million in 2024 and $9.1 million in 2025. These amounts include only fixed consideration.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and Allowance for Credit Losses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balance for accounts receivable on the consolidated balance sheets as of June 26, 2022 and June 27, 2021 are primarily from contracts with customers. Of the Company’s accounts receivable, less allowance for doubtful accounts, of $870.5 million, approximately $4.3 million relates to accounts receivable held in Russia. The Company has insurance coverage for over 90% of Russian receivables. The Company had no material expense for credit losses for the quarters or six months ended June 26, 2022 and June 27,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disaggregates its revenues from contracts with customers by reportable segment: Consumer Products, Entertainment, and Wizards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Coast and Digital Gaming. The Company further disaggregates revenues within its Consumer Products segment by major geographic region: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Europe, Latin America, and Asia Pacific; within its Entertainment segment by category: Film &amp; TV, Family Brands, and Other; and within its</w:t>
      </w:r>
    </w:p>
    <w:p>
      <w:pPr>
        <w:spacing w:after="0" w:line="9"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Wizards of the Coast and Digital Gaming segment by line of business: Tabletop Gaming and Digital and Licensed Gaming.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13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2" w:name="page13"/>
    <w:bookmarkEnd w:id="1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(loss) per share data for the quarters and six months ended June 26, 2022 and June 27, 2021 were computed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5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Quarter</w:t>
            </w:r>
          </w:p>
        </w:tc>
        <w:tc>
          <w:tcPr>
            <w:tcW w:w="240" w:type="dxa"/>
            <w:vAlign w:val="bottom"/>
          </w:tcPr>
          <w:p>
            <w:pPr>
              <w:spacing w:after="0"/>
              <w:rPr>
                <w:sz w:val="15"/>
                <w:szCs w:val="15"/>
                <w:color w:val="auto"/>
              </w:rPr>
            </w:pPr>
          </w:p>
        </w:tc>
        <w:tc>
          <w:tcPr>
            <w:tcW w:w="1240" w:type="dxa"/>
            <w:vAlign w:val="bottom"/>
            <w:gridSpan w:val="3"/>
          </w:tcPr>
          <w:p>
            <w:pPr>
              <w:jc w:val="right"/>
              <w:ind w:right="70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9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right"/>
              <w:ind w:right="68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9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attributable to Hasbro,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29"/>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and other share-based awards</w:t>
            </w:r>
          </w:p>
        </w:tc>
        <w:tc>
          <w:tcPr>
            <w:tcW w:w="2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 Shares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(loss) attributable to Hasbro, Inc. per common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Six Months</w:t>
            </w:r>
          </w:p>
        </w:tc>
        <w:tc>
          <w:tcPr>
            <w:tcW w:w="260" w:type="dxa"/>
            <w:vAlign w:val="bottom"/>
          </w:tcPr>
          <w:p>
            <w:pPr>
              <w:spacing w:after="0"/>
              <w:rPr>
                <w:sz w:val="15"/>
                <w:szCs w:val="15"/>
                <w:color w:val="auto"/>
              </w:rPr>
            </w:pPr>
          </w:p>
        </w:tc>
        <w:tc>
          <w:tcPr>
            <w:tcW w:w="102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200" w:type="dxa"/>
            <w:vAlign w:val="bottom"/>
          </w:tcPr>
          <w:p>
            <w:pPr>
              <w:spacing w:after="0"/>
              <w:rPr>
                <w:sz w:val="15"/>
                <w:szCs w:val="15"/>
                <w:color w:val="auto"/>
              </w:rPr>
            </w:pPr>
          </w:p>
        </w:tc>
        <w:tc>
          <w:tcPr>
            <w:tcW w:w="96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tcPr>
          <w:p>
            <w:pPr>
              <w:spacing w:after="0"/>
              <w:rPr>
                <w:sz w:val="15"/>
                <w:szCs w:val="15"/>
                <w:color w:val="auto"/>
              </w:rPr>
            </w:pPr>
          </w:p>
        </w:tc>
        <w:tc>
          <w:tcPr>
            <w:tcW w:w="94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Hasbro,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 Shares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vMerge w:val="restart"/>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Hasbro, Inc. per common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quarter and six months ended June 26, 2022, options and restricted stock units totaling 3.0 million and 3.8 million, respectively, were excluded from the calculation of diluted earnings per share because to include them would have been anti-dilutive. For the quarter and six months ended June 27, 2021, options and restricted stock units totaling 4.6 million and 2.2 million, respectively, were excluded from the calculation of diluted earnings per share because to include them would have been anti-dilutive. Of the second quarter 2021 amount, 2.5 million shares would have been included in the calculation of diluted shares had the Company not had a loss for the quarter ended June 27, 2021. Assuming that these options and restricted stock units were included, under the treasury stock method, they would have resulted in an additional 0.4 million shares being included in the diluted earnings per share calculation for the quarter ended June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25"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the Company realigned its financial reporting structure creating the following three principal reportable segments: Consumer Products, Wizards of the Coast and Digital Gaming and Entertainment. In our realignment, some, but not all, of our reporting units were changed. As a result of these changes, during 2021, the Company reallocated its goodwill among the revised reporting units based on the change in relative fair values of the respective reporting units.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operating segment, for the quarters ended June 26, 2022 and June 27, 2021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Consumer Products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Wizards of the Coast</w:t>
            </w:r>
          </w:p>
        </w:tc>
        <w:tc>
          <w:tcPr>
            <w:tcW w:w="1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Entertainment</w:t>
            </w:r>
          </w:p>
        </w:tc>
        <w:tc>
          <w:tcPr>
            <w:tcW w:w="40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and Digital Gaming</w:t>
            </w:r>
          </w:p>
        </w:tc>
        <w:tc>
          <w:tcPr>
            <w:tcW w:w="184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26, 2021</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1,584.9</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1,527.4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3,419.6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during the period</w:t>
            </w:r>
          </w:p>
        </w:tc>
        <w:tc>
          <w:tcPr>
            <w:tcW w:w="5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26, 2022</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1,584.7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1,526.6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3,483.2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Consumer Products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Wizards of the Coast</w:t>
            </w:r>
          </w:p>
        </w:tc>
        <w:tc>
          <w:tcPr>
            <w:tcW w:w="1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Entertainment</w:t>
            </w:r>
          </w:p>
        </w:tc>
        <w:tc>
          <w:tcPr>
            <w:tcW w:w="40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 Digital Gaming</w:t>
            </w:r>
          </w:p>
        </w:tc>
        <w:tc>
          <w:tcPr>
            <w:tcW w:w="184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27, 2020</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1,385.7</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2,252.9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3,691.7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allocation</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5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during the period</w:t>
            </w:r>
          </w:p>
        </w:tc>
        <w:tc>
          <w:tcPr>
            <w:tcW w:w="5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 to assets held-for-sale</w:t>
            </w:r>
          </w:p>
        </w:tc>
        <w:tc>
          <w:tcPr>
            <w:tcW w:w="5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27, 2021</w:t>
            </w: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19, 2022, the Company completed its acquisition of D&amp;D Beyond for $146.3 million, which was funded with cash on hand. Based on the valuation of these assets, $64.7 million was allocated to goodwill within the Wizards of the Coast and Digital Gaming segment during the second quarter of 2022.</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a definitive agreement to sell the Entertainment One Music business ("eOne Music"). Based on the value of the net assets held by eOne Music, which included goodwill and intangible assets allocated to eOne Music as part of the acquisition of Entertainment One in December 2019 (the "eOne Acquisition"), the Company recorded a pre-tax non-cash goodwill impairment charge of $101.8 million, during the second quarter of 2021, within Loss on Assets Held for Sale in the Consolidated Statements of Operations, and within the Entertainment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Comprehensive Earnings (Loss)</w:t>
      </w:r>
    </w:p>
    <w:p>
      <w:pPr>
        <w:spacing w:after="0" w:line="20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Components of other comprehensive earnings (loss) are presented within the consolidated statements of comprehensive earnings. The following table presents the related tax effects on changes in other comprehensive earnings (loss) for the quarters and six months ended June 26, 2022 and June 27,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60" w:type="dxa"/>
            <w:vAlign w:val="bottom"/>
          </w:tcPr>
          <w:p>
            <w:pPr>
              <w:spacing w:after="0"/>
              <w:rPr>
                <w:sz w:val="20"/>
                <w:szCs w:val="20"/>
                <w:color w:val="auto"/>
              </w:rPr>
            </w:pPr>
          </w:p>
        </w:tc>
        <w:tc>
          <w:tcPr>
            <w:tcW w:w="276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74"/>
        </w:trPr>
        <w:tc>
          <w:tcPr>
            <w:tcW w:w="50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160"/>
              <w:spacing w:after="0" w:line="174" w:lineRule="exact"/>
              <w:rPr>
                <w:sz w:val="20"/>
                <w:szCs w:val="20"/>
                <w:color w:val="auto"/>
              </w:rPr>
            </w:pPr>
            <w:r>
              <w:rPr>
                <w:rFonts w:ascii="Times New Roman" w:cs="Times New Roman" w:eastAsia="Times New Roman" w:hAnsi="Times New Roman"/>
                <w:sz w:val="18"/>
                <w:szCs w:val="18"/>
                <w:b w:val="1"/>
                <w:bCs w:val="1"/>
                <w:color w:val="auto"/>
              </w:rPr>
              <w:t>June 26,</w:t>
            </w:r>
          </w:p>
        </w:tc>
        <w:tc>
          <w:tcPr>
            <w:tcW w:w="1460" w:type="dxa"/>
            <w:vAlign w:val="bottom"/>
            <w:tcBorders>
              <w:top w:val="single" w:sz="8" w:color="auto"/>
            </w:tcBorders>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27,</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3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June 26,</w:t>
            </w:r>
          </w:p>
        </w:tc>
        <w:tc>
          <w:tcPr>
            <w:tcW w:w="1460" w:type="dxa"/>
            <w:vAlign w:val="bottom"/>
            <w:tcBorders>
              <w:top w:val="single" w:sz="8" w:color="auto"/>
            </w:tcBorders>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27,</w:t>
            </w:r>
          </w:p>
        </w:tc>
      </w:tr>
      <w:tr>
        <w:trPr>
          <w:trHeight w:val="238"/>
        </w:trPr>
        <w:tc>
          <w:tcPr>
            <w:tcW w:w="5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tax effect: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on unrealized holding gains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benefit on cash flow hedging activities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earnings, tax effect: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 expense (benefit) on cash flow hedging activities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pension and postretirement amounts</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 effect on other comprehensive earnings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earnings (loss), net of tax for the six months ended June 26, 2022 and June 27, 2021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2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4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26,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320" w:type="dxa"/>
            <w:vAlign w:val="bottom"/>
          </w:tcPr>
          <w:p>
            <w:pPr>
              <w:jc w:val="center"/>
              <w:ind w:left="86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other comprehensive earnings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26,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86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27,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6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period other comprehensive earnings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ind w:left="86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27,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left="86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(Losses) on Derivative Instruments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June 26, 2022, the Company had remaining net deferred gains on foreign currency forward contracts, net of tax, of $15.8 million in accumulated other comprehensive earnings (loss) ("AOCE"). These instruments hedge payments related to inventory purchased in the second quarter of 2022 or forecasted to be purchased during the remainder of 2022 through 2023, intercompany expenses expected to be paid or received during 2022, television and movie production costs paid in 2022 or expected to be paid in 2023 or 2024, and cash receipts for sales made at the end of the first quarter of 2022 or forecasted to be made in the remainder of 2022. These amounts will be reclassified into the consolidated statements of operations upon the sale of the related inventory, the recognition of the related production costs or the recognition of the related sales or intercompany expenses to be paid or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addition to foreign currency forward contracts, the Company entered into hedging contracts on future interest payments related to the 3.15% Notes that were repaid in full in the aggregate principal amount of $300.0 million during the first quarter of 2021 (See note 7), and the 5.10% Notes due 2044. At the date of debt issuance, these contracts were terminated and the fair value on the date of settlement was deferred in AOCE and is being amortized to interest expense over the life of the related notes using the effective interest rate method. At June 26, 2022, deferred losses, net of tax of $15.2 million related to these instruments remained in AOCE. For the quarters ended June 26, 2022 and June 27, 2021, previously deferred losses of $0.2 million and $0.3 million, respectively, related to these instruments were reclassified from AOCE to net earnings. For the six-month periods ended June 26, 2022 and June 27, 2021, previously deferred losses of $0.4 million and $0.8 million, respectively, related to these instruments were reclassified from AOCE to net earnings.</w:t>
      </w:r>
    </w:p>
    <w:p>
      <w:pPr>
        <w:spacing w:after="0" w:line="1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 the net deferred gains included in AOCE at June 26, 2022, the Company expects net gains of approximately $12.9 million to be reclassified to the consolidated statements of operations within the next 12 months. However, the amount ultimately realized in earnings is dependent on the fair value of the hedging instruments on the settlement 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for additional discussion on reclassifications from AOCE to earnings.</w:t>
      </w:r>
    </w:p>
    <w:p>
      <w:pPr>
        <w:spacing w:after="0" w:line="181"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accrued liabilities for the periods ended June 26, 2022, June 27, 2021 and December 26, 2021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8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management incentives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charges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IIC &amp; IIP</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6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 accrual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19"/>
                <w:szCs w:val="19"/>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15"/>
        </w:trPr>
        <w:tc>
          <w:tcPr>
            <w:tcW w:w="6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Instruments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short-term borrowings, accounts payable and certain accrued liabilities. At June 26, 2022, June 27, 2021 and December 26, 2021, the carrying cost of these instruments approximated their fair value. The Company's financial instruments at June 26, 2022, June 27, 2021 and December 26, 2021 also include certain assets and liabilities measured at fair value (see notes 10 and 11) as well as long-term borrowings. The carrying costs, which are equal to the outstanding principal amounts, and fair values of the Company's long-term borrowings as of June 26, 2022, June 27, 2021 and December 26, 2021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200" w:type="dxa"/>
            <w:vAlign w:val="bottom"/>
          </w:tcPr>
          <w:p>
            <w:pPr>
              <w:spacing w:after="0"/>
              <w:rPr>
                <w:sz w:val="20"/>
                <w:szCs w:val="20"/>
                <w:color w:val="auto"/>
              </w:rPr>
            </w:pPr>
          </w:p>
        </w:tc>
        <w:tc>
          <w:tcPr>
            <w:tcW w:w="26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20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69"/>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0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8"/>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2029</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w:t>
            </w: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3.55%</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6.35%</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2.60% Notes Due 2022</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 Due 2028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176"/>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 Notes Due December 30,</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 Notes Due December 30,</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27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29"/>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Production Financing Facilities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4,549.3</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debt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4,549.3</w:t>
            </w:r>
          </w:p>
        </w:tc>
      </w:tr>
      <w:tr>
        <w:trPr>
          <w:trHeight w:val="20"/>
        </w:trPr>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first quarter of 2022, the Company repaid $50.0 million of the Variable % Notes due December 30, 2024.</w:t>
      </w:r>
    </w:p>
    <w:p>
      <w:pPr>
        <w:spacing w:after="0" w:line="198"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212529"/>
        </w:rPr>
        <w:t xml:space="preserve">In November 2019, in conjunction with the Company's acquisition of eOne, the Company issued an aggregate of </w:t>
      </w:r>
      <w:r>
        <w:rPr>
          <w:rFonts w:ascii="Times New Roman" w:cs="Times New Roman" w:eastAsia="Times New Roman" w:hAnsi="Times New Roman"/>
          <w:sz w:val="17"/>
          <w:szCs w:val="17"/>
          <w:color w:val="000000"/>
        </w:rPr>
        <w:t>$2.4 billion</w:t>
      </w:r>
      <w:r>
        <w:rPr>
          <w:rFonts w:ascii="Times New Roman" w:cs="Times New Roman" w:eastAsia="Times New Roman" w:hAnsi="Times New Roman"/>
          <w:sz w:val="17"/>
          <w:szCs w:val="17"/>
          <w:color w:val="212529"/>
        </w:rPr>
        <w:t xml:space="preserve"> of senior unsecured debt securities (the "Notes") consisting of the following tranches: $300.0 million of notes due 2022 (the "2022 Notes") that bear interest at a fixed rate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 During 2021, the Company repaid in full the $300.0 million of 2022 Notes and recorded $9.1 million of debt extinguishment costs within other expense (income) in the Consolidated Statements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Notes bear interest at the stated rates but may be subject to upward adjustment if the credit rating of the Company is reduced by Moody's or Standard</w:t>
      </w:r>
    </w:p>
    <w:p>
      <w:pPr>
        <w:spacing w:after="0" w:line="27" w:lineRule="exact"/>
        <w:rPr>
          <w:sz w:val="20"/>
          <w:szCs w:val="20"/>
          <w:color w:val="auto"/>
        </w:rPr>
      </w:pPr>
    </w:p>
    <w:p>
      <w:pPr>
        <w:ind w:right="100" w:firstLine="8"/>
        <w:spacing w:after="0" w:line="252" w:lineRule="auto"/>
        <w:tabs>
          <w:tab w:leader="none" w:pos="185" w:val="left"/>
        </w:tabs>
        <w:numPr>
          <w:ilvl w:val="0"/>
          <w:numId w:val="1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7" w:name="page18"/>
    <w:bookmarkEnd w:id="1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5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was drawn down on December 30, 2019, the closing date of the eOne Acquisition. As of June 26, 2022, the Company has fully repaid the Three-Year Tranche $400.0 million principal term loan, and of the Five-Year Tranche $600.0 million principal balance, the Company has repaid a total of</w:t>
      </w:r>
    </w:p>
    <w:p>
      <w:pPr>
        <w:ind w:right="160"/>
        <w:spacing w:after="0" w:line="260" w:lineRule="auto"/>
        <w:rPr>
          <w:sz w:val="20"/>
          <w:szCs w:val="20"/>
          <w:color w:val="auto"/>
        </w:rPr>
      </w:pPr>
      <w:r>
        <w:rPr>
          <w:rFonts w:ascii="Times New Roman" w:cs="Times New Roman" w:eastAsia="Times New Roman" w:hAnsi="Times New Roman"/>
          <w:sz w:val="18"/>
          <w:szCs w:val="18"/>
          <w:color w:val="auto"/>
        </w:rPr>
        <w:t>$260.0 million in the following increments: $22.5 million in 2020; $180.0 million in 2021; and $57.5 million in the first six months of 2022 consisting of $50.0 million of the principal balance and a principal amortization payment of $7.5 million.</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 xml:space="preserve">Loans under the remaining Five-Year Tranche bear interest at the Company’s option, at either the Eurocurrency Rate or the Base Rate, plus a per annum applicable rate that fluctuates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As of </w:t>
      </w:r>
      <w:r>
        <w:rPr>
          <w:rFonts w:ascii="Times New Roman" w:cs="Times New Roman" w:eastAsia="Times New Roman" w:hAnsi="Times New Roman"/>
          <w:sz w:val="18"/>
          <w:szCs w:val="18"/>
          <w:color w:val="000000"/>
        </w:rPr>
        <w:t>June 26, 2022</w:t>
      </w:r>
      <w:r>
        <w:rPr>
          <w:rFonts w:ascii="Times New Roman" w:cs="Times New Roman" w:eastAsia="Times New Roman" w:hAnsi="Times New Roman"/>
          <w:sz w:val="18"/>
          <w:szCs w:val="18"/>
          <w:color w:val="212529"/>
        </w:rPr>
        <w:t>, the Company was in compliance with the financial covenants contained in the Term Loan Agreement.</w:t>
      </w:r>
    </w:p>
    <w:p>
      <w:pPr>
        <w:spacing w:after="0" w:line="16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12529"/>
        </w:rPr>
        <w:t xml:space="preserve">Current portion of long-term debt at </w:t>
      </w:r>
      <w:r>
        <w:rPr>
          <w:rFonts w:ascii="Times New Roman" w:cs="Times New Roman" w:eastAsia="Times New Roman" w:hAnsi="Times New Roman"/>
          <w:sz w:val="18"/>
          <w:szCs w:val="18"/>
          <w:color w:val="000000"/>
        </w:rPr>
        <w:t>June 26, 2022</w:t>
      </w:r>
      <w:r>
        <w:rPr>
          <w:rFonts w:ascii="Times New Roman" w:cs="Times New Roman" w:eastAsia="Times New Roman" w:hAnsi="Times New Roman"/>
          <w:sz w:val="18"/>
          <w:szCs w:val="18"/>
          <w:color w:val="212529"/>
        </w:rPr>
        <w:t xml:space="preserve"> o</w:t>
      </w:r>
      <w:r>
        <w:rPr>
          <w:rFonts w:ascii="Times New Roman" w:cs="Times New Roman" w:eastAsia="Times New Roman" w:hAnsi="Times New Roman"/>
          <w:sz w:val="18"/>
          <w:szCs w:val="18"/>
          <w:color w:val="000000"/>
        </w:rPr>
        <w:t>f $137.0 million</w:t>
      </w:r>
      <w:r>
        <w:rPr>
          <w:rFonts w:ascii="Times New Roman" w:cs="Times New Roman" w:eastAsia="Times New Roman" w:hAnsi="Times New Roman"/>
          <w:sz w:val="18"/>
          <w:szCs w:val="18"/>
          <w:color w:val="212529"/>
        </w:rPr>
        <w:t xml:space="preserve">, as shown on the consolidated balance sheet, represents </w:t>
      </w:r>
      <w:r>
        <w:rPr>
          <w:rFonts w:ascii="Times New Roman" w:cs="Times New Roman" w:eastAsia="Times New Roman" w:hAnsi="Times New Roman"/>
          <w:sz w:val="18"/>
          <w:szCs w:val="18"/>
          <w:color w:val="000000"/>
        </w:rPr>
        <w:t>the current portion of required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quarterly principal amortization payments for the 5-Year Tranche of the Term Loan Facilities and production financing facilities. </w:t>
      </w:r>
      <w:r>
        <w:rPr>
          <w:rFonts w:ascii="Times New Roman" w:cs="Times New Roman" w:eastAsia="Times New Roman" w:hAnsi="Times New Roman"/>
          <w:sz w:val="18"/>
          <w:szCs w:val="18"/>
          <w:color w:val="212529"/>
        </w:rPr>
        <w:t>All of the Company’s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other long-term borrowings have contractual maturities that occur subsequent to 2023 with the exception of certain of the Company's production financing facilities and annual principal payments related to the Term Loan Facilities.</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fair values of the Company's long-term debt are considered Level 3 fair values (see note 10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8" w:name="page19"/>
    <w:bookmarkEnd w:id="18"/>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Production Financing</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212529"/>
        </w:rPr>
        <w:t>In addition to the Company's financial instruments, t</w:t>
      </w:r>
      <w:r>
        <w:rPr>
          <w:rFonts w:ascii="Times New Roman" w:cs="Times New Roman" w:eastAsia="Times New Roman" w:hAnsi="Times New Roman"/>
          <w:sz w:val="18"/>
          <w:szCs w:val="18"/>
          <w:color w:val="000000"/>
        </w:rPr>
        <w:t>he Company uses production financing facilities to fund its film and television productions which are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arranged on an individual production basis by either special purpose production subsidiaries, each secured by future revenues of such production subsidiaries, which are non-recourse to the Company's assets, or through a senior revolving credit facility dedicated to production financing obtained in November 2021.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Going forward, the Company expects to utilize the RPCF for the majority of its production financing needs.</w:t>
      </w:r>
    </w:p>
    <w:p>
      <w:pPr>
        <w:spacing w:after="0" w:line="8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June 26, 2022, June 27, 2021 and December 26, 2021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24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18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248"/>
        </w:trPr>
        <w:tc>
          <w:tcPr>
            <w:tcW w:w="5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Production financing facilities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financing included in the consolidated balance sheet as: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3"/>
        </w:trPr>
        <w:tc>
          <w:tcPr>
            <w:tcW w:w="5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1"/>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is charged at bank prime rate plus a margin based on the risk of the respective production. The weighted average interest rate on all production financing as of June 26, 2022 was 2.8%.</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Canadian dollar and U.S. dollar production financing loans with various banks. The carrying amounts are denominated in the following currencies: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Canadian Dollars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26,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432"/>
        </w:trPr>
        <w:tc>
          <w:tcPr>
            <w:tcW w:w="9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represents the movements in production financing loans during the first six months of 2022: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8"/>
        </w:trPr>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59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26, 2021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Drawdowns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26, 2022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repay all of its currently outstanding production financing loans by the second quarter of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b w:val="1"/>
          <w:bCs w:val="1"/>
          <w:u w:val="single" w:color="auto"/>
          <w:color w:val="auto"/>
        </w:rPr>
        <w:t>Investments in Productions and Investments in Acquired Content Rights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film basis and any portion of the unamortized amount that appears not to be recoverable from future net revenues is expensed as part of program cost amortization during the period the loss becomes evident.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unamortized investments in productions and investments in acquired content rights consisted of the following at June 26, 2022, June 27, 2021, and December 26,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4480" w:type="dxa"/>
            <w:vAlign w:val="bottom"/>
            <w:tcBorders>
              <w:top w:val="single" w:sz="8" w:color="CCEEFF"/>
            </w:tcBorders>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Investment in Films and Television Programs:</w:t>
            </w:r>
          </w:p>
        </w:tc>
        <w:tc>
          <w:tcPr>
            <w:tcW w:w="3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Individual Monetization</w:t>
            </w:r>
          </w:p>
        </w:tc>
        <w:tc>
          <w:tcPr>
            <w:tcW w:w="1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Completed and not released</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9"/>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Pre-production</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color w:val="auto"/>
              </w:rPr>
              <w:t xml:space="preserve">Film/TV Group Monetization </w:t>
            </w:r>
            <w:r>
              <w:rPr>
                <w:rFonts w:ascii="Times New Roman" w:cs="Times New Roman" w:eastAsia="Times New Roman" w:hAnsi="Times New Roman"/>
                <w:sz w:val="19"/>
                <w:szCs w:val="19"/>
                <w:color w:val="auto"/>
                <w:vertAlign w:val="superscript"/>
              </w:rPr>
              <w:t>(1)</w:t>
            </w: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169"/>
        </w:trPr>
        <w:tc>
          <w:tcPr>
            <w:tcW w:w="20" w:type="dxa"/>
            <w:vAlign w:val="bottom"/>
          </w:tcPr>
          <w:p>
            <w:pPr>
              <w:spacing w:after="0"/>
              <w:rPr>
                <w:sz w:val="14"/>
                <w:szCs w:val="14"/>
                <w:color w:val="auto"/>
              </w:rPr>
            </w:pPr>
          </w:p>
        </w:tc>
        <w:tc>
          <w:tcPr>
            <w:tcW w:w="448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Investment in Other Programming</w:t>
            </w: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Completed and not released</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Pre-production</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Due to a monetization strategy change, as of December 26, 2021 the Company began monetizing certain content assets as a Film/TV group.</w:t>
      </w:r>
    </w:p>
    <w:p>
      <w:pPr>
        <w:spacing w:after="0" w:line="11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recorded $219.2 million of program cost amortization related to released programming in the six months ended June 26, 2022, consisting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26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400" w:type="dxa"/>
            <w:vAlign w:val="bottom"/>
          </w:tcPr>
          <w:p>
            <w:pPr>
              <w:spacing w:after="0"/>
              <w:rPr>
                <w:sz w:val="18"/>
                <w:szCs w:val="18"/>
                <w:color w:val="auto"/>
              </w:rPr>
            </w:pPr>
          </w:p>
        </w:tc>
        <w:tc>
          <w:tcPr>
            <w:tcW w:w="1640" w:type="dxa"/>
            <w:vAlign w:val="bottom"/>
            <w:gridSpan w:val="3"/>
            <w:vMerge w:val="restart"/>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Production</w:t>
            </w:r>
          </w:p>
        </w:tc>
        <w:tc>
          <w:tcPr>
            <w:tcW w:w="260" w:type="dxa"/>
            <w:vAlign w:val="bottom"/>
          </w:tcPr>
          <w:p>
            <w:pPr>
              <w:spacing w:after="0"/>
              <w:rPr>
                <w:sz w:val="21"/>
                <w:szCs w:val="21"/>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Content</w:t>
            </w:r>
          </w:p>
        </w:tc>
        <w:tc>
          <w:tcPr>
            <w:tcW w:w="400" w:type="dxa"/>
            <w:vAlign w:val="bottom"/>
          </w:tcPr>
          <w:p>
            <w:pPr>
              <w:spacing w:after="0"/>
              <w:rPr>
                <w:sz w:val="21"/>
                <w:szCs w:val="21"/>
                <w:color w:val="auto"/>
              </w:rPr>
            </w:pPr>
          </w:p>
        </w:tc>
        <w:tc>
          <w:tcPr>
            <w:tcW w:w="1640" w:type="dxa"/>
            <w:vAlign w:val="bottom"/>
            <w:gridSpan w:val="3"/>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effective tax rate ("ETR") from continuing operations was 21.8% for the six months ended June 26, 2022 and 43.9% for the six months ended June 27,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caused the year-to-date ETR to be significantly different from the prior year ETR:</w:t>
      </w:r>
    </w:p>
    <w:p>
      <w:pPr>
        <w:spacing w:after="0" w:line="185" w:lineRule="exact"/>
        <w:rPr>
          <w:sz w:val="20"/>
          <w:szCs w:val="20"/>
          <w:color w:val="auto"/>
        </w:rPr>
      </w:pPr>
    </w:p>
    <w:p>
      <w:pPr>
        <w:ind w:left="660" w:right="1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26, 2022, the Company recorded a net discrete tax benefit of $3.2 million primarily associated with the release of certain valuation allowances during the first quarter; and</w:t>
      </w:r>
    </w:p>
    <w:p>
      <w:pPr>
        <w:spacing w:after="0" w:line="134"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27, 2021, the Company recorded a net discrete tax expense of $17.4 million primarily associated with the revaluation of net deferred tax liabilities as a result of the United Kingdom's ("UK") enactment of the Finance Act 2021 during the second quarter, which will increase the UK corporate income tax rate from 19% to 25% as of April 1, 2023. This was reduced by the release of a valuation allowance on net operating losses that offset income received from a one-time legal settlement and certain tax benefits including the reversal of uncertain tax positions that resulted from statutes of limitations expiring in certain jurisdictions and operational tax planning during the second quarter;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660" w:right="5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year-to-date 2021 ETR also included a one-time impairment expense on assets held for sale from which there was no corresponding tax benefit.</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and cantonal tax, including cantonal transitional provisions adopted in 2021, were not material to the Company's financial statements.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2015. The Company is currently under income tax examination by the Internal Revenue Service and in several U.S. state and local and non-U.S. jurisdictions.</w:t>
      </w:r>
    </w:p>
    <w:p>
      <w:pPr>
        <w:spacing w:after="0" w:line="145"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transfers between levels within the fair value hierarchy.</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1" w:name="page22"/>
    <w:bookmarkEnd w:id="2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June 26, 2022, June 27, 2021 and December 26, 2021, the Company had the following assets and liabilities measured at fair value in its consolidated balance sheets (excluding assets for which the fair value is measured using net asset value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Prices in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440" w:type="dxa"/>
            <w:vAlign w:val="bottom"/>
            <w:gridSpan w:val="2"/>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Identical</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June 26, 2022</w:t>
            </w:r>
          </w:p>
        </w:tc>
        <w:tc>
          <w:tcPr>
            <w:tcW w:w="45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June 27, 2021</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26, 2021</w:t>
            </w:r>
          </w:p>
        </w:tc>
        <w:tc>
          <w:tcPr>
            <w:tcW w:w="4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securities include equity securities of one company quoted on an active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2" w:name="page23"/>
    <w:bookmarkEnd w:id="2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June 26, 2022, June 27, 2021 and December 26, 2021,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Due to the 2021 revaluation of the Discovery investment and resulting impairment charges, the Company reduced the option's fair value by $20.1 million during the fourth quarter of 2021. There were no changes in these valuation techniques during the quarter ended June 26, 2022.</w:t>
      </w:r>
    </w:p>
    <w:p>
      <w:pPr>
        <w:spacing w:after="0" w:line="1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of the fair value measurements of the Company's financial instruments which use significant unobservable inputs (Level 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w:t>
            </w:r>
          </w:p>
        </w:tc>
        <w:tc>
          <w:tcPr>
            <w:tcW w:w="90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second quarter</w:t>
            </w: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7)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certain production financing loans and other cross-border transactions, primarily for the remainder of 2022, 2023, and to a lesser extent, 2024.</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At June 26, 2022, June 27, 2021 and December 26, 2021, the notional amounts and fair values of the Company's foreign currency forward contracts designated as cash flow hedging instruments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26,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Hedged transaction</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880" w:type="dxa"/>
            <w:vAlign w:val="bottom"/>
            <w:tcBorders>
              <w:top w:val="single" w:sz="8" w:color="auto"/>
            </w:tcBorders>
          </w:tcPr>
          <w:p>
            <w:pPr>
              <w:jc w:val="center"/>
              <w:ind w:left="33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900" w:type="dxa"/>
            <w:vAlign w:val="bottom"/>
            <w:tcBorders>
              <w:top w:val="single" w:sz="8" w:color="auto"/>
            </w:tcBorders>
          </w:tcPr>
          <w:p>
            <w:pPr>
              <w:jc w:val="center"/>
              <w:ind w:left="3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3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jc w:val="center"/>
              <w:ind w:left="330"/>
              <w:spacing w:after="0" w:line="202"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center"/>
              <w:ind w:left="3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financing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3" w:name="page24"/>
    <w:bookmarkEnd w:id="2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June 26, 2022, June 27, 2021 and December 26, 2021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27,</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r>
      <w:tr>
        <w:trPr>
          <w:trHeight w:val="241"/>
        </w:trPr>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20" w:type="dxa"/>
            <w:vAlign w:val="bottom"/>
            <w:shd w:val="clear" w:color="auto" w:fill="CCEEFF"/>
          </w:tcPr>
          <w:p>
            <w:pPr>
              <w:spacing w:after="0"/>
              <w:rPr>
                <w:sz w:val="16"/>
                <w:szCs w:val="16"/>
                <w:color w:val="auto"/>
              </w:rPr>
            </w:pPr>
          </w:p>
        </w:tc>
        <w:tc>
          <w:tcPr>
            <w:tcW w:w="638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09"/>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Accrued liabilities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498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liabilities</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(losses) on cash flow hedging activities have been reclassified from other comprehensive earnings (loss) to net earnings for the quarters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2022 and June 27, 2021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26,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26,</w:t>
            </w:r>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27,</w:t>
            </w:r>
          </w:p>
        </w:tc>
      </w:tr>
      <w:tr>
        <w:trPr>
          <w:trHeight w:val="241"/>
        </w:trPr>
        <w:tc>
          <w:tcPr>
            <w:tcW w:w="2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Statements of Operations Classification</w:t>
            </w:r>
          </w:p>
        </w:tc>
        <w:tc>
          <w:tcPr>
            <w:tcW w:w="17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5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1.3</w:t>
            </w: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7"/>
              </w:rPr>
              <w:t>1.2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(losses) gains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Undesignated Hedges</w:t>
      </w:r>
    </w:p>
    <w:p>
      <w:pPr>
        <w:spacing w:after="0" w:line="2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June 26, 2022, June 27, 2021 and December 26, 2021 the total notional amounts of the Company's undesignated derivative instruments were $464.7 million, $573.0 million and $632.0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June 26, 2022, June 27, 2021 and December 26, 2021, the fair values of the Company's undesignated derivative financial instruments were recorded in the consolidated balance sheets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27,</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r>
      <w:tr>
        <w:trPr>
          <w:trHeight w:val="241"/>
        </w:trPr>
        <w:tc>
          <w:tcPr>
            <w:tcW w:w="2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20" w:type="dxa"/>
            <w:vAlign w:val="bottom"/>
            <w:shd w:val="clear" w:color="auto" w:fill="CCEEFF"/>
          </w:tcPr>
          <w:p>
            <w:pPr>
              <w:spacing w:after="0"/>
              <w:rPr>
                <w:sz w:val="16"/>
                <w:szCs w:val="16"/>
                <w:color w:val="auto"/>
              </w:rPr>
            </w:pPr>
          </w:p>
        </w:tc>
        <w:tc>
          <w:tcPr>
            <w:tcW w:w="638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tcPr>
          <w:p>
            <w:pPr>
              <w:jc w:val="center"/>
              <w:ind w:left="790"/>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Accrued liabilities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unrealized gains (losses), net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recorded net gains of $16.7 million and $20.5 million on these instruments to other (income) expense, net for the quarter and six months ended June 26, 2022, respectively, and net gains (losses) of $5.4 million and $(0.7) million for the quarter and six months ended June 27, 2021, respectively, relating to the change in fair value of such derivatives, substantially offsetting gains and losses from the change in fair value of intercompany loans to which the contracts relate.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related to the Company's derivative financial instruments (see notes 5 and 10).</w:t>
      </w:r>
    </w:p>
    <w:p>
      <w:pPr>
        <w:spacing w:after="0" w:line="181"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occupies offices and uses certain equipment under various operating lease arrangements. The Company has no material finance leases. These leases have remaining lease terms of 1 to 17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rent expense under such arrangements and similar arrangements that do not qualify as leases under ASU 2016-02, net of sublease income amounted to $20.9 million and $43.2 million for the quarter and six months ended June 26, 2022, respectively, and $22.5 million and $44.3 million for the quarter and six months ended June 27, 2021, respectively, and was not material to the Company's financial statements. Expenses related to short-term leases (expected terms less than 12 months) or variable lease payments was not material in the quarter or six months ended June 26, 2022 or June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Company’s leases for the quarters ended June 26, 2022 and June 27, 2021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0" w:type="dxa"/>
            <w:vAlign w:val="bottom"/>
          </w:tcPr>
          <w:p>
            <w:pPr>
              <w:spacing w:after="0"/>
              <w:rPr>
                <w:sz w:val="20"/>
                <w:szCs w:val="20"/>
                <w:color w:val="auto"/>
              </w:rPr>
            </w:pPr>
          </w:p>
        </w:tc>
        <w:tc>
          <w:tcPr>
            <w:tcW w:w="30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39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26,</w:t>
            </w:r>
          </w:p>
        </w:tc>
        <w:tc>
          <w:tcPr>
            <w:tcW w:w="2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c>
          <w:tcPr>
            <w:tcW w:w="7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June 26,</w:t>
            </w:r>
          </w:p>
        </w:tc>
        <w:tc>
          <w:tcPr>
            <w:tcW w:w="160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39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8"/>
        </w:trPr>
        <w:tc>
          <w:tcPr>
            <w:tcW w:w="39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lease liabilities: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9"/>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 lease</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9"/>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 net of lease modifications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3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4.6 years</w:t>
            </w:r>
          </w:p>
        </w:tc>
        <w:tc>
          <w:tcPr>
            <w:tcW w:w="2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5.8 years</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4.6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years</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33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future undiscounted cash flows to the operating liabilities, and the related right of use assets, included in our consolidated balance sheets as of June 26,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470"/>
              <w:spacing w:after="0" w:line="189" w:lineRule="exact"/>
              <w:rPr>
                <w:sz w:val="20"/>
                <w:szCs w:val="20"/>
                <w:color w:val="auto"/>
              </w:rPr>
            </w:pPr>
            <w:r>
              <w:rPr>
                <w:rFonts w:ascii="Times New Roman" w:cs="Times New Roman" w:eastAsia="Times New Roman" w:hAnsi="Times New Roman"/>
                <w:sz w:val="18"/>
                <w:szCs w:val="18"/>
                <w:b w:val="1"/>
                <w:bCs w:val="1"/>
                <w:color w:val="auto"/>
              </w:rPr>
              <w:t>June 26,</w:t>
            </w:r>
          </w:p>
        </w:tc>
      </w:tr>
      <w:tr>
        <w:trPr>
          <w:trHeight w:val="241"/>
        </w:trPr>
        <w:tc>
          <w:tcPr>
            <w:tcW w:w="94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six months ended June 26, 2022)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future operating lease payments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30"/>
        </w:trPr>
        <w:tc>
          <w:tcPr>
            <w:tcW w:w="9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operating lease liabilities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8"/>
        </w:trPr>
        <w:tc>
          <w:tcPr>
            <w:tcW w:w="94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Non-current operating lease liability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Operating lease right-of-use assets, net </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135.8</w:t>
            </w:r>
          </w:p>
        </w:tc>
      </w:tr>
      <w:tr>
        <w:trPr>
          <w:trHeight w:val="21"/>
        </w:trPr>
        <w:tc>
          <w:tcPr>
            <w:tcW w:w="9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Accrued liabilities on the consolidated balance sheets.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Other liabilities on the consolidated balance sheets.</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Hasbro is a global play and entertainment company with a broad portfolio of brands and entertainment content spanning toys, games, licensed products ranging from traditional to digital, as well as film and television entertainment. Effective for the three months ended March 28, 2021, the Company realigned its reportable segment structure to: (1) align with changes to its business structure subsequent to the integration of eOne; and (2) reflect changes to its reporting structure and provide transparency into how operating performance is measured. The Company's three principal reportable segments are (i) Consumer Products, (ii) Wizards of the Coast and Digital Gaming, and (iii) Entertainment.</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Additionally, the Company out-licenses certain brands to other third-party digital game developers who transform Hasbro brand-based characters and other intellectual properties, into digital gaming experiences. The Entertainment segment engages in the development, acquisition, production, financing, distribution and sale of world-class entertainment content including film, scripted and unscripted television, family programming, digital content and live entertainment.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accounting policies of the Company's segments are the same as those referenced in note 1.</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Results shown for the quarter ended June 26, 2022 are not necessarily representative of those which may be expected for the full year 2022, nor were those of the comparable 2021 periods representative of those actually experienced for the full year 2021. Similarly, such results are not necessarily those which would be achieved were each segment an unaffiliated business enterprise.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by segment and a reconciliation to reported amounts for the quarters and six months ended June 26, 2022 and June 27,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220" w:type="dxa"/>
            <w:vAlign w:val="bottom"/>
          </w:tcPr>
          <w:p>
            <w:pPr>
              <w:spacing w:after="0"/>
              <w:rPr>
                <w:sz w:val="19"/>
                <w:szCs w:val="19"/>
                <w:color w:val="auto"/>
              </w:rPr>
            </w:pPr>
          </w:p>
        </w:tc>
        <w:tc>
          <w:tcPr>
            <w:tcW w:w="25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4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4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220" w:type="dxa"/>
            <w:vAlign w:val="bottom"/>
          </w:tcPr>
          <w:p>
            <w:pPr>
              <w:spacing w:after="0"/>
              <w:rPr>
                <w:sz w:val="19"/>
                <w:szCs w:val="19"/>
                <w:color w:val="auto"/>
              </w:rPr>
            </w:pPr>
          </w:p>
        </w:tc>
        <w:tc>
          <w:tcPr>
            <w:tcW w:w="25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4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4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1"/>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0" w:type="dxa"/>
            <w:vAlign w:val="bottom"/>
          </w:tcPr>
          <w:p>
            <w:pPr>
              <w:spacing w:after="0"/>
              <w:rPr>
                <w:sz w:val="20"/>
                <w:szCs w:val="20"/>
                <w:color w:val="auto"/>
              </w:rPr>
            </w:pPr>
          </w:p>
        </w:tc>
        <w:tc>
          <w:tcPr>
            <w:tcW w:w="29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60"/>
              <w:spacing w:after="0" w:line="174"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27,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Consumer Products </w:t>
            </w:r>
            <w:r>
              <w:rPr>
                <w:rFonts w:ascii="Times New Roman" w:cs="Times New Roman" w:eastAsia="Times New Roman" w:hAnsi="Times New Roman"/>
                <w:sz w:val="12"/>
                <w:szCs w:val="12"/>
                <w:color w:val="auto"/>
              </w:rPr>
              <w:t>(a)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12"/>
                <w:szCs w:val="12"/>
                <w:color w:val="auto"/>
              </w:rPr>
              <w:t>(a)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26,</w:t>
            </w: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27,</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Consumer Products </w:t>
            </w:r>
            <w:r>
              <w:rPr>
                <w:rFonts w:ascii="Times New Roman" w:cs="Times New Roman" w:eastAsia="Times New Roman" w:hAnsi="Times New Roman"/>
                <w:sz w:val="12"/>
                <w:szCs w:val="12"/>
                <w:color w:val="auto"/>
              </w:rPr>
              <w:t>(b)</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5,318.9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60" w:type="dxa"/>
            <w:vAlign w:val="bottom"/>
          </w:tcPr>
          <w:p>
            <w:pPr>
              <w:spacing w:after="0"/>
              <w:rPr>
                <w:sz w:val="19"/>
                <w:szCs w:val="19"/>
                <w:color w:val="auto"/>
              </w:rPr>
            </w:pPr>
          </w:p>
        </w:tc>
        <w:tc>
          <w:tcPr>
            <w:tcW w:w="1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2,295.8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6,286.7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(4,398.4)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9,503.0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60" w:firstLine="8"/>
        <w:spacing w:after="0" w:line="267" w:lineRule="auto"/>
        <w:tabs>
          <w:tab w:leader="none" w:pos="204"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Beginning in 2022, the Company has allocated certain of the intangible amortization costs related to the assets acquired in the eOne acquisition, between the Consumer Products and Entertainment segments. Corporate and Other also includes the elimination of inter-company balance sheet amounts.</w:t>
      </w:r>
    </w:p>
    <w:p>
      <w:pPr>
        <w:spacing w:after="0" w:line="157" w:lineRule="exact"/>
        <w:rPr>
          <w:rFonts w:ascii="Times New Roman" w:cs="Times New Roman" w:eastAsia="Times New Roman" w:hAnsi="Times New Roman"/>
          <w:sz w:val="14"/>
          <w:szCs w:val="14"/>
          <w:i w:val="1"/>
          <w:iCs w:val="1"/>
          <w:color w:val="auto"/>
        </w:rPr>
      </w:pPr>
    </w:p>
    <w:p>
      <w:pPr>
        <w:ind w:right="140" w:firstLine="8"/>
        <w:spacing w:after="0" w:line="285" w:lineRule="auto"/>
        <w:tabs>
          <w:tab w:leader="none" w:pos="204"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second quarter of 2021, the Company adjusted certain inter-segment balance sheet amounts which impacted the Consumer Products and Corporate and Other total asset values. These adjustments did not impact the Company's total assets.</w:t>
      </w:r>
    </w:p>
    <w:p>
      <w:pPr>
        <w:spacing w:after="0" w:line="144" w:lineRule="exact"/>
        <w:rPr>
          <w:rFonts w:ascii="Times New Roman" w:cs="Times New Roman" w:eastAsia="Times New Roman" w:hAnsi="Times New Roman"/>
          <w:sz w:val="14"/>
          <w:szCs w:val="14"/>
          <w:i w:val="1"/>
          <w:iCs w:val="1"/>
          <w:color w:val="auto"/>
        </w:rPr>
      </w:pPr>
    </w:p>
    <w:p>
      <w:pPr>
        <w:ind w:left="200" w:hanging="192"/>
        <w:spacing w:after="0"/>
        <w:tabs>
          <w:tab w:leader="none" w:pos="20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revenues from transactions with other operating segments that are included in the operating profit (loss) of the segment.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Consumer Products segment net revenues by major geographic region for the quarters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2022 and June 27,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0" w:type="dxa"/>
            <w:vAlign w:val="bottom"/>
          </w:tcPr>
          <w:p>
            <w:pPr>
              <w:spacing w:after="0"/>
              <w:rPr>
                <w:sz w:val="20"/>
                <w:szCs w:val="20"/>
                <w:color w:val="auto"/>
              </w:rPr>
            </w:pPr>
          </w:p>
        </w:tc>
        <w:tc>
          <w:tcPr>
            <w:tcW w:w="29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46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c>
          <w:tcPr>
            <w:tcW w:w="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4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consolidated Wizards of the Coast and Digital Gaming segment net revenues by category for the quarters and six months ended June 26, 2022 and June 27,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0" w:type="dxa"/>
            <w:vAlign w:val="bottom"/>
          </w:tcPr>
          <w:p>
            <w:pPr>
              <w:spacing w:after="0"/>
              <w:rPr>
                <w:sz w:val="20"/>
                <w:szCs w:val="20"/>
                <w:color w:val="auto"/>
              </w:rPr>
            </w:pPr>
          </w:p>
        </w:tc>
        <w:tc>
          <w:tcPr>
            <w:tcW w:w="29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74"/>
        </w:trPr>
        <w:tc>
          <w:tcPr>
            <w:tcW w:w="45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27,</w:t>
            </w:r>
          </w:p>
        </w:tc>
        <w:tc>
          <w:tcPr>
            <w:tcW w:w="3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60"/>
              <w:spacing w:after="0" w:line="174"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70"/>
              <w:spacing w:after="0" w:line="174" w:lineRule="exact"/>
              <w:rPr>
                <w:sz w:val="20"/>
                <w:szCs w:val="20"/>
                <w:color w:val="auto"/>
              </w:rPr>
            </w:pPr>
            <w:r>
              <w:rPr>
                <w:rFonts w:ascii="Times New Roman" w:cs="Times New Roman" w:eastAsia="Times New Roman" w:hAnsi="Times New Roman"/>
                <w:sz w:val="18"/>
                <w:szCs w:val="18"/>
                <w:b w:val="1"/>
                <w:bCs w:val="1"/>
                <w:color w:val="auto"/>
              </w:rPr>
              <w:t>June 27,</w:t>
            </w:r>
          </w:p>
        </w:tc>
      </w:tr>
      <w:tr>
        <w:trPr>
          <w:trHeight w:val="238"/>
        </w:trPr>
        <w:tc>
          <w:tcPr>
            <w:tcW w:w="4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Tabletop Gaming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Digital and Licensed Gaming</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966"/>
        </w:trPr>
        <w:tc>
          <w:tcPr>
            <w:tcW w:w="4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Entertainment segment net revenues by category for the quarters and six months ended June 26,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0" w:type="dxa"/>
            <w:vAlign w:val="bottom"/>
          </w:tcPr>
          <w:p>
            <w:pPr>
              <w:spacing w:after="0"/>
              <w:rPr>
                <w:sz w:val="20"/>
                <w:szCs w:val="20"/>
                <w:color w:val="auto"/>
              </w:rPr>
            </w:pPr>
          </w:p>
        </w:tc>
        <w:tc>
          <w:tcPr>
            <w:tcW w:w="29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46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c>
          <w:tcPr>
            <w:tcW w:w="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46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TV</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Brands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Music and Other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r>
      <w:tr>
        <w:trPr>
          <w:trHeight w:val="21"/>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consolidated net revenues by brand and entertainment portfolio for the quarters and six months ended June 26,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0" w:type="dxa"/>
            <w:vAlign w:val="bottom"/>
          </w:tcPr>
          <w:p>
            <w:pPr>
              <w:spacing w:after="0"/>
              <w:rPr>
                <w:sz w:val="20"/>
                <w:szCs w:val="20"/>
                <w:color w:val="auto"/>
              </w:rPr>
            </w:pPr>
          </w:p>
        </w:tc>
        <w:tc>
          <w:tcPr>
            <w:tcW w:w="28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46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c>
          <w:tcPr>
            <w:tcW w:w="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June 26,</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4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6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Franchise Brands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Brands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Hasbro Gaming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30"/>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Emerging Brands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TV/Film/Entertainment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right="20" w:firstLine="8"/>
        <w:spacing w:after="0" w:line="366" w:lineRule="auto"/>
        <w:tabs>
          <w:tab w:leader="none" w:pos="132" w:val="left"/>
        </w:tabs>
        <w:numPr>
          <w:ilvl w:val="0"/>
          <w:numId w:val="24"/>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Effective in the first quarter of 2022, the Company moved PEPPA PIG into Franchise Brands from Emerging Brands. For comparability, net revenues for the quarter and six months ended June 27, 2021 have been restated to reflect the elevation of PEPPA PIG from Emerging Brands to Franchise Brands, which amounted to a change of $27.3 million and $58.9 million, respectively.</w:t>
      </w:r>
    </w:p>
    <w:p>
      <w:pPr>
        <w:spacing w:after="0" w:line="70" w:lineRule="exact"/>
        <w:rPr>
          <w:rFonts w:ascii="Times New Roman" w:cs="Times New Roman" w:eastAsia="Times New Roman" w:hAnsi="Times New Roman"/>
          <w:sz w:val="15"/>
          <w:szCs w:val="15"/>
          <w:i w:val="1"/>
          <w:iCs w:val="1"/>
          <w:color w:val="auto"/>
          <w:vertAlign w:val="superscript"/>
        </w:rPr>
      </w:pPr>
    </w:p>
    <w:p>
      <w:pPr>
        <w:ind w:right="160" w:firstLine="8"/>
        <w:spacing w:after="0" w:line="263" w:lineRule="auto"/>
        <w:tabs>
          <w:tab w:leader="none" w:pos="145" w:val="left"/>
        </w:tabs>
        <w:numPr>
          <w:ilvl w:val="0"/>
          <w:numId w:val="2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Hasbro's total gaming category, which includes all gaming net revenues, both those reported in Hasbro Gaming and those reported elsewhere, most notably MAGIC: THE GATHERING and MONOPOLY which are reported within Franchise Brands, totaled $528.3 million and $907.1 million for the quarter and six months ended June 26, 2022, respectively. For the quarter and six months ended June 27, 2021, total gaming revenues were $519.4 million and $884.7 million, respectively.</w:t>
      </w:r>
    </w:p>
    <w:p>
      <w:pPr>
        <w:spacing w:after="0" w:line="163"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Actions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2018 and 2020, the Company took certain restructuring actions including headcount reduction aimed at right-sizing the Company’s cost-structure and integration actions related to the acquisition of eOne.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26, 2022, the Company had a remaining balance of $12.2 million in termination payments related to these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OBJECTIVE</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objective within the following discussion is to provide an analysis of the Company’s Results of Operations, Financial Condition, and Cash Flows from management's perspective which should be read in conjunction with the Company’s consolidated financial statements and notes thereto, included in Part I, Item 1 of this Form 10-Q.</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otherwise specifically indicated, all dollar or share amounts within tables herein are expressed in millions of dollars or shares, except for per share amounts.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SUMMARY</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Hasbro, Inc. (“Hasbro”) is a global play and entertainment company committed to Creating the World’s Best Play and Entertainment Experiences and making the world a better place for all children, fans and families. Hasbro delivers immersive brand experiences for global audiences through consumer products, including toys and games; gaming, led by the team at Wizards of the Coast, an award-winning developer of tabletop and digital games; and entertainment through Entertainment One (“eOne”), our independent studio.</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unparalleled portfolio of approximately 1,500 brands includes MAGIC: THE GATHERING, NERF, MY LITTLE PONY, TRANSFORMERS, PLAY-DOH, MONOPOLY, BABY ALIVE, DUNGEONS &amp; DRAGONS, POWER RANGERS, PEPPA PIG and PJ MASKS, as well as premier partner brands. For the past decade, we have been consistently recognized for our corporate citizenship, including being named one of the 100 Best Corporate Citizens by 3BL Media and one of the World’s Most Ethical Companies by Ethisphere Institute.</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strategic plan is centered around the Hasbro Brand Blueprint, a framework for bringing compelling and expansive brand experiences to consumers and audiences around the world. Our brands are story-led consumer franchises brought to life through a wide array of consumer products, digital gaming and compelling content offered across a multitude of platforms and media. Our commitment to disciplined, strategic investments across the Brand Blueprint over the long-term has built a differentiated business with diversified capabilities to drive profitable growth and enhance shareholder value. As we continue to evolve our strategy, our teams are driving focus and scale in gaming, multi-generational brands, entertainment creation and direct to consumer.</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Hasbro's purpose of making the world a better place for all children, fans and families sits at the center of the Hasbro Brand Blueprint and is a key driver of our brands and content. The value of Hasbro is fully activated when we can take a brand across multiple elements of the Brand Blueprint – consumer products; Wizards of the Coast and digital gaming; and entertainment. The ability to build a brand in any of our segments and leverage in-house capabilities to create multiple categories of engagement with consumers and fans is unique to Hasbro and optimizes our economics today and in the future.</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each of the periods presented in this Form 10-Q there were certain charges incurred which impacted operating results. These charges are detailed below in the Results of Operations - Consolidated.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Coronavirus Pandemic</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the onset of the novel coronavirus (COVID-19) pandemic in early 2020, our business, has been adversely impacted by the challenges and risks associated with both the initial, and the continuing effects of the spread of the virus worldwide. Certain effects of the COVID-19 pandemic, including difficulties in shipping and distributing products due to ongoing constraints in port capacity, shipping containers and truck transportation, have continued through the first six months of 2022 and are expected to continue through the remainder of the year. These and other disruptions have led to higher costs for both ocean and air freight and delays in the availability of products, which can result in delayed sales and, in some cases, lost sales. In response to these and other challenges, we have developed and continue to evaluate and execute plans to mitigate the negative impacts of COVID-19 to our business. For example, we implemented certain price increases in the first half of 2022 and in 2021, to mitigate product input and freight cost increases. The Company continues to review the impact of increasing costs and implemented further price increases in its Wizards of the Coast tabletop business in July 2022. Additionally, during the first half of 2022, the Company accelerated certain inventory purchases to ensure sufficient finished goods and raw material availability, ahead of expected periods of high consumer demand. We believe these mitigating actions will help manage the adverse impacts to our financial results for fiscal year 2022.</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COVID-19 outbreak continues to be fluid and it is difficult to forecast the impact it could have on our future operations. However, since the initial outbreak, we have maintained sufficient liquidity and access to capital resources and we continue to closely monitor customer health and collectability of receivables. Please see Part I, Item 1A. Risk Factors and Part I, Item 1. Business, in the Company's Form 10-K for the fiscal year ended December 26, 2021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D&amp;D Beyond Acquisition</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the Company completed the strategic, complementary acquisition of D&amp;D Beyond ("D&amp;D Beyond Acquisition"), the premier digital content platform for DUNGEONS &amp; DRAGONS, in an all-cash transaction for a purchase price of $146.3 million. D&amp;D Beyond</w:t>
      </w: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 is expected to substantially accelerate direct-to-fans capability for DUNGEONS &amp; DRAGONS in physical and digital play</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See note 1 to the consolidated financial statements included in Part I of this Form 10-Q for further discussion.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2022 highlights:</w:t>
      </w:r>
    </w:p>
    <w:p>
      <w:pPr>
        <w:spacing w:after="0" w:line="119" w:lineRule="exact"/>
        <w:rPr>
          <w:sz w:val="20"/>
          <w:szCs w:val="20"/>
          <w:color w:val="auto"/>
        </w:rPr>
      </w:pPr>
    </w:p>
    <w:p>
      <w:pPr>
        <w:ind w:left="500" w:right="380" w:hanging="492"/>
        <w:spacing w:after="0" w:line="282"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net revenues of $1.3 billion increased 1% compared to the second quarter of 2021 and included an unfavorable foreign currency translation of $32.7 million. Absent the unfavorable impact of foreign currency exchange, first quarter net revenues increased 4%.</w:t>
      </w:r>
    </w:p>
    <w:p>
      <w:pPr>
        <w:spacing w:after="0" w:line="53" w:lineRule="exact"/>
        <w:rPr>
          <w:rFonts w:ascii="Times New Roman" w:cs="Times New Roman" w:eastAsia="Times New Roman" w:hAnsi="Times New Roman"/>
          <w:sz w:val="18"/>
          <w:szCs w:val="18"/>
          <w:color w:val="auto"/>
        </w:rPr>
      </w:pPr>
    </w:p>
    <w:p>
      <w:pPr>
        <w:ind w:left="1300" w:right="640" w:hanging="482"/>
        <w:spacing w:after="0" w:line="282"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Products segment net revenues increased 7% to $734.2 million. Wizards of the Coast and Digital Gaming segment net revenues increased 3% to $419.8 million; and Entertainment segment net revenues declined 18% to $185.2 million.</w:t>
      </w:r>
    </w:p>
    <w:p>
      <w:pPr>
        <w:spacing w:after="0" w:line="53" w:lineRule="exact"/>
        <w:rPr>
          <w:rFonts w:ascii="Times New Roman" w:cs="Times New Roman" w:eastAsia="Times New Roman" w:hAnsi="Times New Roman"/>
          <w:sz w:val="18"/>
          <w:szCs w:val="18"/>
          <w:color w:val="auto"/>
        </w:rPr>
      </w:pPr>
    </w:p>
    <w:p>
      <w:pPr>
        <w:ind w:left="1300" w:right="20" w:hanging="482"/>
        <w:spacing w:after="0" w:line="266"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Franchise Brands increased 10%; Partner Brands net revenues increased 3%; Emerging Brands net revenues increased 3%; Hasbro Gaming net revenues decreased 14%; and TV/Film/Entertainment portfolio net revenues decreased 19%, reflecting the sale of eOne Music which represented $33.4 million of TV/Film/Entertainment portfolio net revenues in the second quarter of 2021.</w:t>
      </w:r>
    </w:p>
    <w:p>
      <w:pPr>
        <w:spacing w:after="0" w:line="67"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$219.1 million, or 16.4% of net revenue, in the second quarter of 2022 compared to operating profit of $76.6 million, or 5.8% of net revenue, in the second quarter of 2021.</w:t>
      </w:r>
    </w:p>
    <w:p>
      <w:pPr>
        <w:spacing w:after="0" w:line="53" w:lineRule="exact"/>
        <w:rPr>
          <w:rFonts w:ascii="Times New Roman" w:cs="Times New Roman" w:eastAsia="Times New Roman" w:hAnsi="Times New Roman"/>
          <w:sz w:val="18"/>
          <w:szCs w:val="18"/>
          <w:color w:val="auto"/>
        </w:rPr>
      </w:pPr>
    </w:p>
    <w:p>
      <w:pPr>
        <w:ind w:left="1300" w:right="140" w:hanging="482"/>
        <w:spacing w:after="0" w:line="266"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Wizards of the Coast and Digital Gaming segment increased 17% to $225.6 million; Entertainment segment operating profit increased &gt;100% to $14.3 million; Consumer Products segment operating results decreased &gt;100% to an operating loss of $6.5 million; and Corporate and Other operating results decreased 30% to an operating loss of $14.3 million.</w:t>
      </w:r>
    </w:p>
    <w:p>
      <w:pPr>
        <w:spacing w:after="0" w:line="67" w:lineRule="exact"/>
        <w:rPr>
          <w:rFonts w:ascii="Times New Roman" w:cs="Times New Roman" w:eastAsia="Times New Roman" w:hAnsi="Times New Roman"/>
          <w:sz w:val="18"/>
          <w:szCs w:val="18"/>
          <w:color w:val="auto"/>
        </w:rPr>
      </w:pPr>
    </w:p>
    <w:p>
      <w:pPr>
        <w:ind w:left="1300" w:right="280" w:hanging="482"/>
        <w:spacing w:after="0" w:line="282"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2021 operating profit was negatively impacted by a pre-tax non-cash impairment charge of $101.8 million and pre-tax cash transaction expenses of $9.5 million ($7.3 million after-tax) associated with the sale of eOne Music.</w:t>
      </w:r>
    </w:p>
    <w:p>
      <w:pPr>
        <w:spacing w:after="0" w:line="53" w:lineRule="exact"/>
        <w:rPr>
          <w:rFonts w:ascii="Times New Roman" w:cs="Times New Roman" w:eastAsia="Times New Roman" w:hAnsi="Times New Roman"/>
          <w:sz w:val="18"/>
          <w:szCs w:val="18"/>
          <w:color w:val="auto"/>
        </w:rPr>
      </w:pPr>
    </w:p>
    <w:p>
      <w:pPr>
        <w:ind w:left="1300" w:right="280" w:hanging="482"/>
        <w:spacing w:after="0" w:line="282"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charges impacted operating segment performance for the second quarter of 2022 and 2021, in the Company’s Consumer Products, Entertainment and Corporate and Other segments, which are discussed further below in Segment Results.</w:t>
      </w:r>
    </w:p>
    <w:p>
      <w:pPr>
        <w:spacing w:after="0" w:line="53" w:lineRule="exact"/>
        <w:rPr>
          <w:rFonts w:ascii="Times New Roman" w:cs="Times New Roman" w:eastAsia="Times New Roman" w:hAnsi="Times New Roman"/>
          <w:sz w:val="18"/>
          <w:szCs w:val="18"/>
          <w:color w:val="auto"/>
        </w:rPr>
      </w:pPr>
    </w:p>
    <w:p>
      <w:pPr>
        <w:jc w:val="both"/>
        <w:ind w:left="500" w:right="80" w:hanging="492"/>
        <w:spacing w:after="0" w:line="266"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attributable to Hasbro, Inc. of $142.0 million, or $1.02 per diluted share, in the second quarter of 2022 compared to net losses of $22.9 million, or $0.17 per diluted share, in the second quarter of 2021. The net loss in the second quarter of 2021 included the loss on assets held for sale from the Music business, as discussed above.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six months 2022 highlights:</w:t>
      </w:r>
    </w:p>
    <w:p>
      <w:pPr>
        <w:spacing w:after="0" w:line="119" w:lineRule="exact"/>
        <w:rPr>
          <w:sz w:val="20"/>
          <w:szCs w:val="20"/>
          <w:color w:val="auto"/>
        </w:rPr>
      </w:pPr>
    </w:p>
    <w:p>
      <w:pPr>
        <w:ind w:left="500" w:hanging="492"/>
        <w:spacing w:after="0" w:line="266"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3% to $2,502.3 million in first six months of 2022 compared to $2,437.0 million in the first six months of 2021. The increase in net revenues included $50.1 million of unfavorable foreign currency translation. Absent the impact of foreign currency exchange, net revenues increased 5%.</w:t>
      </w:r>
    </w:p>
    <w:p>
      <w:pPr>
        <w:spacing w:after="0" w:line="67" w:lineRule="exact"/>
        <w:rPr>
          <w:rFonts w:ascii="Times New Roman" w:cs="Times New Roman" w:eastAsia="Times New Roman" w:hAnsi="Times New Roman"/>
          <w:sz w:val="18"/>
          <w:szCs w:val="18"/>
          <w:color w:val="auto"/>
        </w:rPr>
      </w:pPr>
    </w:p>
    <w:p>
      <w:pPr>
        <w:ind w:left="1300" w:hanging="482"/>
        <w:spacing w:after="0" w:line="282"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 the Consumer Products segment increased 5% to $1,407.0 million; Wizards of the Coast and Digital Gaming segment net revenues increased 5% to $682.6 million; and Entertainment segment net revenues decreased 7% to $412.7 million.</w:t>
      </w:r>
    </w:p>
    <w:p>
      <w:pPr>
        <w:spacing w:after="0" w:line="53" w:lineRule="exact"/>
        <w:rPr>
          <w:rFonts w:ascii="Times New Roman" w:cs="Times New Roman" w:eastAsia="Times New Roman" w:hAnsi="Times New Roman"/>
          <w:sz w:val="18"/>
          <w:szCs w:val="18"/>
          <w:color w:val="auto"/>
        </w:rPr>
      </w:pPr>
    </w:p>
    <w:p>
      <w:pPr>
        <w:jc w:val="both"/>
        <w:ind w:left="1300" w:right="140" w:hanging="482"/>
        <w:spacing w:after="0" w:line="266"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Franchise Brands increased 7%; Partner Brands net revenues increased 6%; Emerging brands net revenues increased 3%; Hasbro Gaming net revenues decreased 5%; and Entertainment segment net revenues decreased 10% during the first six months of 2022.</w:t>
      </w:r>
    </w:p>
    <w:p>
      <w:pPr>
        <w:spacing w:after="0" w:line="67"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$339.1 million, or 13.6% of net revenues, in the first six months of 2022 compared to operating profit of $223.9 million, or 9.2% of net revenues, in the first six months of 2021.</w:t>
      </w:r>
    </w:p>
    <w:p>
      <w:pPr>
        <w:spacing w:after="0" w:line="53" w:lineRule="exact"/>
        <w:rPr>
          <w:rFonts w:ascii="Times New Roman" w:cs="Times New Roman" w:eastAsia="Times New Roman" w:hAnsi="Times New Roman"/>
          <w:sz w:val="18"/>
          <w:szCs w:val="18"/>
          <w:color w:val="auto"/>
        </w:rPr>
      </w:pPr>
    </w:p>
    <w:p>
      <w:pPr>
        <w:ind w:left="1300" w:right="380" w:hanging="482"/>
        <w:spacing w:after="0" w:line="266"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Wizards of the Coast and Digital Gaming segment increased 10% to $332.0 million; Entertainment segment operating profit increased &gt;100% to $26.5 million; Consumer Products segment operating profit decreased 96% to $2.1 million; and Corporate and Other operating losses improved by 34% to an operating loss of $21.5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31" w:name="page32"/>
    <w:bookmarkEnd w:id="31"/>
    <w:p>
      <w:pPr>
        <w:ind w:left="1300" w:right="100" w:hanging="482"/>
        <w:spacing w:after="0" w:line="282" w:lineRule="auto"/>
        <w:tabs>
          <w:tab w:leader="none" w:pos="12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first half of 2021 was negatively impacted by a pre-tax non-cash impairment charge of $101.8 million and pre-tax cash transaction expenses of $9.5 million ($7.3 million after-tax) associated with the sale of eOne Music.</w:t>
      </w:r>
    </w:p>
    <w:p>
      <w:pPr>
        <w:spacing w:after="0" w:line="53" w:lineRule="exact"/>
        <w:rPr>
          <w:rFonts w:ascii="Times New Roman" w:cs="Times New Roman" w:eastAsia="Times New Roman" w:hAnsi="Times New Roman"/>
          <w:sz w:val="18"/>
          <w:szCs w:val="18"/>
          <w:color w:val="auto"/>
        </w:rPr>
      </w:pPr>
    </w:p>
    <w:p>
      <w:pPr>
        <w:ind w:left="1300" w:right="240" w:hanging="482"/>
        <w:spacing w:after="0" w:line="281" w:lineRule="auto"/>
        <w:tabs>
          <w:tab w:leader="none" w:pos="1295" w:val="left"/>
        </w:tabs>
        <w:numPr>
          <w:ilvl w:val="1"/>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Certain other charges impacted operating segment performance for the first six months of 2022 and 2021, in the Company’s Consumer Products, Entertainment and Corporate and Other segments, which are discussed further below in Segment Results.</w:t>
      </w:r>
    </w:p>
    <w:p>
      <w:pPr>
        <w:spacing w:after="0" w:line="54" w:lineRule="exact"/>
        <w:rPr>
          <w:rFonts w:ascii="Arial" w:cs="Arial" w:eastAsia="Arial" w:hAnsi="Arial"/>
          <w:sz w:val="18"/>
          <w:szCs w:val="18"/>
          <w:color w:val="auto"/>
        </w:rPr>
      </w:pPr>
    </w:p>
    <w:p>
      <w:pPr>
        <w:ind w:left="500" w:right="320" w:hanging="492"/>
        <w:spacing w:after="0" w:line="266"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attributable to Hasbro, Inc. was $203.2 million, or $1.46 per diluted share, in the first six months of 2022 compared to net earnings attributable to Hasbro, Inc. of $93.3 million, or $0.68 per diluted share, in the first six months of 2021. The net earnings in the first six months of 2021 included the loss on assets held for sale from the Music business, as discussed above.</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FINANCIAL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results of operations is illustrated below for the quarters and six-month periods ended June 26, 2022 and June 27,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294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 attributable to noncontrolling interests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Hasbro, Inc.</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CONSOLIDATED</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Net earnings and diluted earnings per share attributable to Hasbro, Inc. for the quarters and six-month periods ended June 26, 2022 and June 27, 2021 include certain charges as described below.</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21" w:lineRule="exact"/>
        <w:rPr>
          <w:sz w:val="20"/>
          <w:szCs w:val="20"/>
          <w:color w:val="auto"/>
        </w:rPr>
      </w:pPr>
    </w:p>
    <w:p>
      <w:pPr>
        <w:ind w:left="660" w:right="60" w:hanging="328"/>
        <w:spacing w:after="0" w:line="261" w:lineRule="auto"/>
        <w:tabs>
          <w:tab w:leader="none" w:pos="65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After-tax charges of $15.3 million, or $0.11 per diluted share and $31.2 million, or $0.22 per diluted share, of intangible amortization costs for the quarter and six-month periods ended June 26, 2022, respectively, related to the intangible assets acquired in the eOne acquisition. Beginning in 2022, these intangible amortization costs have been allocated between the Consumer Products and Entertainment segments, to match the revenue generated from such intangible assets.</w:t>
      </w:r>
    </w:p>
    <w:p>
      <w:pPr>
        <w:spacing w:after="0" w:line="71" w:lineRule="exact"/>
        <w:rPr>
          <w:rFonts w:ascii="Times New Roman" w:cs="Times New Roman" w:eastAsia="Times New Roman" w:hAnsi="Times New Roman"/>
          <w:sz w:val="18"/>
          <w:szCs w:val="18"/>
          <w:b w:val="1"/>
          <w:bCs w:val="1"/>
          <w:i w:val="1"/>
          <w:iCs w:val="1"/>
          <w:color w:val="auto"/>
        </w:rPr>
      </w:pPr>
    </w:p>
    <w:p>
      <w:pPr>
        <w:ind w:left="660" w:right="80" w:hanging="328"/>
        <w:spacing w:after="0" w:line="266" w:lineRule="auto"/>
        <w:tabs>
          <w:tab w:leader="none" w:pos="65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After-tax charges of $3.2 million, $0.02 per diluted share and $5.6 million, or $0.04 per diluted share, for the quarter and six-month periods ended June 26, 2022, respectively, of expense associated with retention awards granted in connection with the eOne acquisition. These expenses are included within Selling, Distribution and Administration within the Corporate and Other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21" w:lineRule="exact"/>
        <w:rPr>
          <w:sz w:val="20"/>
          <w:szCs w:val="20"/>
          <w:color w:val="auto"/>
        </w:rPr>
      </w:pPr>
    </w:p>
    <w:p>
      <w:pPr>
        <w:ind w:left="660" w:right="40" w:hanging="328"/>
        <w:spacing w:after="0" w:line="266"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After-tax charges of $18.2 million, or $0.13 per diluted share and $38.7 million, or $0.28 per diluted share, of intangible amortization costs for the quarter and six-month periods ended June 27, 2021, respectively, related to the intangible assets acquired in the eOne acquisition. In 2021, these intangible amortization costs were recorded within the Entertainment segment.</w:t>
      </w:r>
    </w:p>
    <w:p>
      <w:pPr>
        <w:spacing w:after="0" w:line="67" w:lineRule="exact"/>
        <w:rPr>
          <w:rFonts w:ascii="Times New Roman" w:cs="Times New Roman" w:eastAsia="Times New Roman" w:hAnsi="Times New Roman"/>
          <w:sz w:val="18"/>
          <w:szCs w:val="18"/>
          <w:b w:val="1"/>
          <w:bCs w:val="1"/>
          <w:i w:val="1"/>
          <w:iCs w:val="1"/>
          <w:color w:val="auto"/>
        </w:rPr>
      </w:pPr>
    </w:p>
    <w:p>
      <w:pPr>
        <w:ind w:left="660" w:right="60" w:hanging="328"/>
        <w:spacing w:after="0" w:line="266"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After-tax charges of $1.6 million, $0.01 per diluted share and $3.3 million, or $0.02 per diluted share, for the quarter and six-month periods ended June 27, 2021, respectively, of expense associated with retention awards granted in connection with the eOne acquisition. These expenses are included within Selling, Distribution and Administration within the Corporate segment.</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660" w:right="320" w:hanging="328"/>
        <w:spacing w:after="0" w:line="266"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After-tax charge of $109.1 million, or $0.79 per diluted share for quarter and six-month periods ended June 27, 2021, comprised of a non-cash goodwill impairment charge of $101.8 million and transaction expenses of $7.3 million, associated with the sale of eOne Music. The goodwill impairment charge of $101.8 million was based on revalued assets and liabilities of eOne music as of the second quarter of 2021.</w:t>
      </w:r>
    </w:p>
    <w:p>
      <w:pPr>
        <w:spacing w:after="0" w:line="67"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net charge of $39.4 million, or $0.29 per diluted share, for quarter and six-month periods ended June 27, 2021, of income tax expense as a result of revaluation of Hasbro’s UK tax attributes in accordance with the Finance Act 2021 enacted by the United Kingdom on June 10,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Second Quarter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quarters ended June 26, 2022 and June 27, 2021 were each 13-week periods.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Consolidated net revenues for the second quarter of 2022 grew 1% to $1,339.2 million from $1,322.2 million for the second quarter of 2021 and included an unfavorable $32.7 million impact from foreign currency translation as a result of weakening currencies, primarily in Europe.</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Operating profit for the second quarter of 2022 was $219.1 million, or 16.4% of net revenues, compared to operating profit of $76.6 million, or 5.8% of net revenues, for the second quarter of 2021. The operating profit increase was primarily driven by the impact to the prior year of the pre-tax non-cash impairment charge of $101.8 million and lower advertising and administrative costs in the second quarter of 2022, in each case as a result of the sale of eOne Music in 2021. In addition, the operating profit increase in the second quarter of 2022 was the result of lower program amortization costs within the Entertainment segment, reflecting the mix and timing of entertainment deliveries in the quarter compared to the second quarter of 2021, lower compensation expense, and lower advertising and depreciation costs within the Wizards of the Coast and Digital Gaming segment, due to digital gaming launches in the second quarter of 2021. These decreases were partially offset by higher costs of sales due to higher product input and freight costs as a result of rising costs and supply chain disruptions, as well as higher obsolescence charges in Russia and higher costs for consulting and other professional services associated with the annual shareholder meeting.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and entertainment portfolio for the quarters ended June 26, 2022 and June 27,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16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Hasbro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TV/Film/Entertainment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Brand portfolio net revenues for the second quarter of 2021 have been restated to reflect the elevation of PEPPA PIG from Emerging Brands to Franchise Brands, effective for the first quarter of 2022. As a result, second quarter 2021 net revenues of $27.3 million were reclassified from Emerging Brands to Franchise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increased 10% in the second quarter of 2022 compared to the second quarter of</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2021. Drivers of the net revenue increase include higher net revenues from MAGIC: THE GATHERING products reflecting a favorable set release cadence during the second quarter of 2022, led by sales of the </w:t>
      </w:r>
      <w:r>
        <w:rPr>
          <w:rFonts w:ascii="Times New Roman" w:cs="Times New Roman" w:eastAsia="Times New Roman" w:hAnsi="Times New Roman"/>
          <w:sz w:val="18"/>
          <w:szCs w:val="18"/>
          <w:i w:val="1"/>
          <w:iCs w:val="1"/>
          <w:color w:val="auto"/>
        </w:rPr>
        <w:t>Commander Legends: Battle for Baldur's Gate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Double Masters</w:t>
      </w:r>
      <w:r>
        <w:rPr>
          <w:rFonts w:ascii="Times New Roman" w:cs="Times New Roman" w:eastAsia="Times New Roman" w:hAnsi="Times New Roman"/>
          <w:sz w:val="18"/>
          <w:szCs w:val="18"/>
          <w:color w:val="auto"/>
        </w:rPr>
        <w:t xml:space="preserve"> set releases, as well as higher net revenues from PLAY-DOH products and higher net revenues from PEPPA PIG, driven by the third quarter 2021 launch of the Company's first line of PEPPA PIG products. To a lesser extent, higher sales of MY LITTLE PONY products, following the September 2021 release of the feature length film, </w:t>
      </w:r>
      <w:r>
        <w:rPr>
          <w:rFonts w:ascii="Times New Roman" w:cs="Times New Roman" w:eastAsia="Times New Roman" w:hAnsi="Times New Roman"/>
          <w:sz w:val="18"/>
          <w:szCs w:val="18"/>
          <w:i w:val="1"/>
          <w:iCs w:val="1"/>
          <w:color w:val="auto"/>
        </w:rPr>
        <w:t>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LITTLE PONY: A NEW GENERATION </w:t>
      </w:r>
      <w:r>
        <w:rPr>
          <w:rFonts w:ascii="Times New Roman" w:cs="Times New Roman" w:eastAsia="Times New Roman" w:hAnsi="Times New Roman"/>
          <w:sz w:val="18"/>
          <w:szCs w:val="18"/>
          <w:color w:val="auto"/>
        </w:rPr>
        <w:t>and the associated product line, drove growth in the second quarter of 2022. These net revenue increases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lower net revenues from TRANSFORMERS and MONOPOLY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increased 3% in the second quarter of 2022 compared to the second quarter of</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2021.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and success. Historically these entertainment-based brands experience higher revenues during years in which new content is released in theaters, for broadcast, and on streaming platforms.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During the second quarter of 2022, Partner Brands net revenue increases were driven by the Company's products for MARVEL, primarily from momentum in the SPIDER-MAN franchise which benefited from entertainment releases including Marvel Studios' </w:t>
      </w:r>
      <w:r>
        <w:rPr>
          <w:rFonts w:ascii="Times New Roman" w:cs="Times New Roman" w:eastAsia="Times New Roman" w:hAnsi="Times New Roman"/>
          <w:sz w:val="18"/>
          <w:szCs w:val="18"/>
          <w:i w:val="1"/>
          <w:iCs w:val="1"/>
          <w:color w:val="auto"/>
        </w:rPr>
        <w:t>SPIDER-MAN: NO WAY HOME,</w:t>
      </w:r>
      <w:r>
        <w:rPr>
          <w:rFonts w:ascii="Times New Roman" w:cs="Times New Roman" w:eastAsia="Times New Roman" w:hAnsi="Times New Roman"/>
          <w:sz w:val="18"/>
          <w:szCs w:val="18"/>
          <w:color w:val="auto"/>
        </w:rPr>
        <w:t xml:space="preserve"> released in December 2021 and the children’s animated television series Marvel's </w:t>
      </w:r>
      <w:r>
        <w:rPr>
          <w:rFonts w:ascii="Times New Roman" w:cs="Times New Roman" w:eastAsia="Times New Roman" w:hAnsi="Times New Roman"/>
          <w:sz w:val="18"/>
          <w:szCs w:val="18"/>
          <w:i w:val="1"/>
          <w:iCs w:val="1"/>
          <w:color w:val="auto"/>
        </w:rPr>
        <w:t>SPIDEY and HIS AMAZING FRIENDS.</w:t>
      </w:r>
      <w:r>
        <w:rPr>
          <w:rFonts w:ascii="Times New Roman" w:cs="Times New Roman" w:eastAsia="Times New Roman" w:hAnsi="Times New Roman"/>
          <w:sz w:val="18"/>
          <w:szCs w:val="18"/>
          <w:color w:val="auto"/>
        </w:rPr>
        <w:t xml:space="preserve"> In addition, the Company's products for Marvel's AVENGERS benefited from the release of Marvel Studios' </w:t>
      </w:r>
      <w:r>
        <w:rPr>
          <w:rFonts w:ascii="Times New Roman" w:cs="Times New Roman" w:eastAsia="Times New Roman" w:hAnsi="Times New Roman"/>
          <w:sz w:val="18"/>
          <w:szCs w:val="18"/>
          <w:i w:val="1"/>
          <w:iCs w:val="1"/>
          <w:color w:val="auto"/>
        </w:rPr>
        <w:t>DOCTOR STRANGE in the MULTIVERSE of MADNESS</w:t>
      </w:r>
      <w:r>
        <w:rPr>
          <w:rFonts w:ascii="Times New Roman" w:cs="Times New Roman" w:eastAsia="Times New Roman" w:hAnsi="Times New Roman"/>
          <w:sz w:val="18"/>
          <w:szCs w:val="18"/>
          <w:color w:val="auto"/>
        </w:rPr>
        <w:t xml:space="preserve">, in May 2022 and </w:t>
      </w:r>
      <w:r>
        <w:rPr>
          <w:rFonts w:ascii="Times New Roman" w:cs="Times New Roman" w:eastAsia="Times New Roman" w:hAnsi="Times New Roman"/>
          <w:sz w:val="18"/>
          <w:szCs w:val="18"/>
          <w:i w:val="1"/>
          <w:iCs w:val="1"/>
          <w:color w:val="auto"/>
        </w:rPr>
        <w:t>THOR: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LOVE AND THUNDER, </w:t>
      </w:r>
      <w:r>
        <w:rPr>
          <w:rFonts w:ascii="Times New Roman" w:cs="Times New Roman" w:eastAsia="Times New Roman" w:hAnsi="Times New Roman"/>
          <w:sz w:val="18"/>
          <w:szCs w:val="18"/>
          <w:color w:val="auto"/>
        </w:rPr>
        <w:t>ahead of the July 2022 release. To a lesser extent, net revenues from the Company's line of STAR WARS products increased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result of the entertainment lineup from Lucasfilms including, </w:t>
      </w:r>
      <w:r>
        <w:rPr>
          <w:rFonts w:ascii="Times New Roman" w:cs="Times New Roman" w:eastAsia="Times New Roman" w:hAnsi="Times New Roman"/>
          <w:sz w:val="18"/>
          <w:szCs w:val="18"/>
          <w:i w:val="1"/>
          <w:iCs w:val="1"/>
          <w:color w:val="auto"/>
        </w:rPr>
        <w:t>THE BOOK of BOBA FETT,</w:t>
      </w:r>
      <w:r>
        <w:rPr>
          <w:rFonts w:ascii="Times New Roman" w:cs="Times New Roman" w:eastAsia="Times New Roman" w:hAnsi="Times New Roman"/>
          <w:sz w:val="18"/>
          <w:szCs w:val="18"/>
          <w:color w:val="auto"/>
        </w:rPr>
        <w:t xml:space="preserve"> released in the first fiscal quarter of 2022 and the launch of the </w:t>
      </w:r>
      <w:r>
        <w:rPr>
          <w:rFonts w:ascii="Times New Roman" w:cs="Times New Roman" w:eastAsia="Times New Roman" w:hAnsi="Times New Roman"/>
          <w:sz w:val="18"/>
          <w:szCs w:val="18"/>
          <w:i w:val="1"/>
          <w:iCs w:val="1"/>
          <w:color w:val="auto"/>
        </w:rPr>
        <w:t xml:space="preserve">STAR WARS </w:t>
      </w:r>
      <w:r>
        <w:rPr>
          <w:rFonts w:ascii="Times New Roman" w:cs="Times New Roman" w:eastAsia="Times New Roman" w:hAnsi="Times New Roman"/>
          <w:sz w:val="18"/>
          <w:szCs w:val="18"/>
          <w:color w:val="auto"/>
        </w:rPr>
        <w:t>series</w:t>
      </w:r>
      <w:r>
        <w:rPr>
          <w:rFonts w:ascii="Times New Roman" w:cs="Times New Roman" w:eastAsia="Times New Roman" w:hAnsi="Times New Roman"/>
          <w:sz w:val="18"/>
          <w:szCs w:val="18"/>
          <w:i w:val="1"/>
          <w:iCs w:val="1"/>
          <w:color w:val="auto"/>
        </w:rPr>
        <w:t xml:space="preserve"> OBI-WAN KENOBI </w:t>
      </w:r>
      <w:r>
        <w:rPr>
          <w:rFonts w:ascii="Times New Roman" w:cs="Times New Roman" w:eastAsia="Times New Roman" w:hAnsi="Times New Roman"/>
          <w:sz w:val="18"/>
          <w:szCs w:val="18"/>
          <w:color w:val="auto"/>
        </w:rPr>
        <w:t>series during the second quarter of 2022, both streaming on Disney+. These increases were partially offset by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declines from BEYBLADE and DISNEY FROZEN products during the second quarter of 2022.</w:t>
      </w:r>
    </w:p>
    <w:p>
      <w:pPr>
        <w:spacing w:after="0" w:line="8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HASBRO GAMING: </w:t>
      </w:r>
      <w:r>
        <w:rPr>
          <w:rFonts w:ascii="Times New Roman" w:cs="Times New Roman" w:eastAsia="Times New Roman" w:hAnsi="Times New Roman"/>
          <w:sz w:val="18"/>
          <w:szCs w:val="18"/>
          <w:color w:val="auto"/>
        </w:rPr>
        <w:t>Net revenues in the Hasbro Gaming portfolio decreased 14% in the second quarter of 2022 compared to the second quarter of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driven primarily by net revenue decreases from the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digital game launched during the second quarter 2021, with no comparable release in 2022 and, to a lesser extent, net revenue decreases from DUEL MASTERS products. These net revenue decreases were partially offset by higher net revenues from AVALON HILL'S HeroQuest products and certain classic games.</w:t>
      </w:r>
    </w:p>
    <w:p>
      <w:pPr>
        <w:spacing w:after="0" w:line="7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revenues for Hasbro’s total gaming category, including the Hasbro Gaming portfolio as reported above and all other gaming revenue, most notably revenues from MAGIC: THE GATHERING and MONOPOLY products, which are included in the Franchise Brands portfolio, totaled $528.3 million for the second quarter of 2022, an increase of 2%, as compared to $519.4 million in the second quarter of 2021.</w:t>
      </w:r>
    </w:p>
    <w:p>
      <w:pPr>
        <w:spacing w:after="0" w:line="66"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EMERGING BRANDS: </w:t>
      </w:r>
      <w:r>
        <w:rPr>
          <w:rFonts w:ascii="Times New Roman" w:cs="Times New Roman" w:eastAsia="Times New Roman" w:hAnsi="Times New Roman"/>
          <w:sz w:val="18"/>
          <w:szCs w:val="18"/>
          <w:color w:val="auto"/>
        </w:rPr>
        <w:t>Net revenues from the Emerging Brands portfolio increased 3% during the second quarter of 2022 compared to the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2021. Net revenue increases during the second quarter of 2022 were driven by POWER RANGERS and FURREAL FRIENDS products, partially offset by lower net revenues from GI JOE and certain other EMERGING BRANDS products.</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TV/FILM/ENTERTAINMENT: </w:t>
      </w:r>
      <w:r>
        <w:rPr>
          <w:rFonts w:ascii="Times New Roman" w:cs="Times New Roman" w:eastAsia="Times New Roman" w:hAnsi="Times New Roman"/>
          <w:sz w:val="18"/>
          <w:szCs w:val="18"/>
          <w:color w:val="auto"/>
        </w:rPr>
        <w:t>Net revenues from the TV/Film/Entertainment portfolio decreased 19% compared to the second quarter of 2021.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quarter 2022 net revenue decrease was driven by the sale of the eOne Music business at the start of the third quarter 2021, which represented $33.4 million or 17% of TV, Film and Entertainment portfolio net revenues during the second quarter 2021. In addition, lower scripted deliveries, primarily related to the delivery timing of </w:t>
      </w:r>
      <w:r>
        <w:rPr>
          <w:rFonts w:ascii="Times New Roman" w:cs="Times New Roman" w:eastAsia="Times New Roman" w:hAnsi="Times New Roman"/>
          <w:sz w:val="18"/>
          <w:szCs w:val="18"/>
          <w:i w:val="1"/>
          <w:iCs w:val="1"/>
          <w:color w:val="auto"/>
        </w:rPr>
        <w:t>CRUEL SUMMER</w:t>
      </w:r>
      <w:r>
        <w:rPr>
          <w:rFonts w:ascii="Times New Roman" w:cs="Times New Roman" w:eastAsia="Times New Roman" w:hAnsi="Times New Roman"/>
          <w:sz w:val="18"/>
          <w:szCs w:val="18"/>
          <w:color w:val="auto"/>
        </w:rPr>
        <w:t xml:space="preserve"> season two which is expected in the third quarter of 2022, as compared to </w:t>
      </w:r>
      <w:r>
        <w:rPr>
          <w:rFonts w:ascii="Times New Roman" w:cs="Times New Roman" w:eastAsia="Times New Roman" w:hAnsi="Times New Roman"/>
          <w:sz w:val="18"/>
          <w:szCs w:val="18"/>
          <w:i w:val="1"/>
          <w:iCs w:val="1"/>
          <w:color w:val="auto"/>
        </w:rPr>
        <w:t>CRUEL SUMMER</w:t>
      </w:r>
      <w:r>
        <w:rPr>
          <w:rFonts w:ascii="Times New Roman" w:cs="Times New Roman" w:eastAsia="Times New Roman" w:hAnsi="Times New Roman"/>
          <w:sz w:val="18"/>
          <w:szCs w:val="18"/>
          <w:color w:val="auto"/>
        </w:rPr>
        <w:t xml:space="preserve"> season one, which was delivered in the second quarter of 2021, contributed to the decrease. These decreases were partially offset by higher net revenues from </w:t>
      </w:r>
      <w:r>
        <w:rPr>
          <w:rFonts w:ascii="Times New Roman" w:cs="Times New Roman" w:eastAsia="Times New Roman" w:hAnsi="Times New Roman"/>
          <w:sz w:val="18"/>
          <w:szCs w:val="18"/>
          <w:i w:val="1"/>
          <w:iCs w:val="1"/>
          <w:color w:val="auto"/>
        </w:rPr>
        <w:t>THE ROOKIE</w:t>
      </w:r>
      <w:r>
        <w:rPr>
          <w:rFonts w:ascii="Times New Roman" w:cs="Times New Roman" w:eastAsia="Times New Roman" w:hAnsi="Times New Roman"/>
          <w:sz w:val="18"/>
          <w:szCs w:val="18"/>
          <w:color w:val="auto"/>
        </w:rPr>
        <w:t xml:space="preserve"> television series, higher film revenues and higher unscripted television production revenues during the second quarter of 2022, compared to the second quarter of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Six Months of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six-month periods ended June 26, 2022 and June 27, 2021 were each 26-week periods.</w:t>
      </w:r>
    </w:p>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first six months of 2022, consolidated net revenues increased 3% compared to the first six months of 2021 and reflect an unfavorable variance of $50.1 million as a result of foreign currency translation due to weaker currencies across the Company's European and, to a lesser extent, Asia Pacific markets when compared to the first six months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34" w:name="page35"/>
    <w:bookmarkEnd w:id="34"/>
    <w:p>
      <w:pPr>
        <w:ind w:right="80"/>
        <w:spacing w:after="0" w:line="254" w:lineRule="auto"/>
        <w:rPr>
          <w:sz w:val="20"/>
          <w:szCs w:val="20"/>
          <w:color w:val="auto"/>
        </w:rPr>
      </w:pPr>
      <w:r>
        <w:rPr>
          <w:rFonts w:ascii="Times New Roman" w:cs="Times New Roman" w:eastAsia="Times New Roman" w:hAnsi="Times New Roman"/>
          <w:sz w:val="18"/>
          <w:szCs w:val="18"/>
          <w:color w:val="auto"/>
        </w:rPr>
        <w:t>Operating profit for the first six months of 2022 was $339.1 million, or 13.6% of net revenues, compared to an operating profit of $223.9 million, or 9.2% of net revenues, for the first six months of 2021. The operating profit increase was primarily driven by the impact to the prior year of the pre-tax non-cash impairment charge of $101.8 million and lower administrative costs as a result of the sale of eOne Music in 2021. In addition, the operating profit increase was due to higher net revenues in 2022, combined with lower advertising and depreciation costs within the Wizards of the Coast and Digital Gaming segment due to digital gaming launches in the first six months of 2021, as well as lower royalty expenses in 2022. These benefits were partially offset by higher costs of sales due to higher product input and freight costs as a result of rising costs and supply chain disruptions and higher program amortization costs within the Entertainment segment, reflecting the mix of programming deliveries during the first six months, and to a lesser extent, higher marketing and sales costs.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product category for the first six months of 2022 and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16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Hasbro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TV/Film/Entertainment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Brand portfolio net revenues for first six months of 2021 have been restated to reflect the elevation of PEPPA PIG from Emerging Brands to Franchise Brands, effective for the first quarter of 2022. As a result, first six months of 2021 net revenues of $58.9 million were reclassified from Emerging Brands to Franchise Brands.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increased 7% in the first six months of 2022 compared to 2021. The net revenue</w:t>
      </w:r>
    </w:p>
    <w:p>
      <w:pPr>
        <w:spacing w:after="0" w:line="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increase was primarily driven by higher net revenues from MAGIC: THE GATHERING products reflecting record sales from the </w:t>
      </w:r>
      <w:r>
        <w:rPr>
          <w:rFonts w:ascii="Times New Roman" w:cs="Times New Roman" w:eastAsia="Times New Roman" w:hAnsi="Times New Roman"/>
          <w:sz w:val="18"/>
          <w:szCs w:val="18"/>
          <w:i w:val="1"/>
          <w:iCs w:val="1"/>
          <w:color w:val="auto"/>
        </w:rPr>
        <w:t>Kamigawa: Neon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Dynasty, Commander Legends: Battle for Baldur's Gate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Double Masters </w:t>
      </w:r>
      <w:r>
        <w:rPr>
          <w:rFonts w:ascii="Times New Roman" w:cs="Times New Roman" w:eastAsia="Times New Roman" w:hAnsi="Times New Roman"/>
          <w:sz w:val="18"/>
          <w:szCs w:val="18"/>
          <w:color w:val="auto"/>
        </w:rPr>
        <w:t>set releases during the first six months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higher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from PEPPA PIG, driven by the third quarter 2021 launch of the Company's first line of PEPPA PIG products, higher net revenues from PLAY-DOH products and higher net revenues from MY LITTLE PONY, following the September 2021 release of the feature length film, MY LITTLE PONY: A NEW GENERATION, drove growth during the first six months of 2022. These net revenue increases were partially offset by lower net revenues from MONOPOLY products, and to a lesser extent, lower net revenues from TRANSFORMERS and NERF products during the first six months of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increased 6% during the first six months of 2022 compared to 2021.</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During the first six months of 2022, Partner Brands net revenue increases were driven by the Company's products for MARVEL, primarily from momentum in the SPIDER-MAN franchise which benefited from entertainment releases including Marvel Studios' </w:t>
      </w:r>
      <w:r>
        <w:rPr>
          <w:rFonts w:ascii="Times New Roman" w:cs="Times New Roman" w:eastAsia="Times New Roman" w:hAnsi="Times New Roman"/>
          <w:sz w:val="18"/>
          <w:szCs w:val="18"/>
          <w:i w:val="1"/>
          <w:iCs w:val="1"/>
          <w:color w:val="auto"/>
        </w:rPr>
        <w:t>SPIDER-MAN: NO WAY HOME</w:t>
      </w:r>
      <w:r>
        <w:rPr>
          <w:rFonts w:ascii="Times New Roman" w:cs="Times New Roman" w:eastAsia="Times New Roman" w:hAnsi="Times New Roman"/>
          <w:sz w:val="18"/>
          <w:szCs w:val="18"/>
          <w:color w:val="auto"/>
        </w:rPr>
        <w:t xml:space="preserve"> and the children’s animated television series Marvel's </w:t>
      </w:r>
      <w:r>
        <w:rPr>
          <w:rFonts w:ascii="Times New Roman" w:cs="Times New Roman" w:eastAsia="Times New Roman" w:hAnsi="Times New Roman"/>
          <w:sz w:val="18"/>
          <w:szCs w:val="18"/>
          <w:i w:val="1"/>
          <w:iCs w:val="1"/>
          <w:color w:val="auto"/>
        </w:rPr>
        <w:t>SPIDEY and HIS AMAZING FRIENDS</w:t>
      </w:r>
      <w:r>
        <w:rPr>
          <w:rFonts w:ascii="Times New Roman" w:cs="Times New Roman" w:eastAsia="Times New Roman" w:hAnsi="Times New Roman"/>
          <w:sz w:val="18"/>
          <w:szCs w:val="18"/>
          <w:color w:val="auto"/>
        </w:rPr>
        <w:t xml:space="preserve"> while the Company's products for Marvel's AVENGERS benefited from the release of Marvel Studios' </w:t>
      </w:r>
      <w:r>
        <w:rPr>
          <w:rFonts w:ascii="Times New Roman" w:cs="Times New Roman" w:eastAsia="Times New Roman" w:hAnsi="Times New Roman"/>
          <w:sz w:val="18"/>
          <w:szCs w:val="18"/>
          <w:i w:val="1"/>
          <w:iCs w:val="1"/>
          <w:color w:val="auto"/>
        </w:rPr>
        <w:t>DOCTOR STRANGE in the MULTIVERSE of MADNESS</w:t>
      </w:r>
      <w:r>
        <w:rPr>
          <w:rFonts w:ascii="Times New Roman" w:cs="Times New Roman" w:eastAsia="Times New Roman" w:hAnsi="Times New Roman"/>
          <w:sz w:val="18"/>
          <w:szCs w:val="18"/>
          <w:color w:val="auto"/>
        </w:rPr>
        <w:t xml:space="preserve">. To a lesser extent, net revenues from the Company's line of STAR WARS products increased as a result of the lineup of new entertainment from Lucasfilms including, </w:t>
      </w:r>
      <w:r>
        <w:rPr>
          <w:rFonts w:ascii="Times New Roman" w:cs="Times New Roman" w:eastAsia="Times New Roman" w:hAnsi="Times New Roman"/>
          <w:sz w:val="18"/>
          <w:szCs w:val="18"/>
          <w:i w:val="1"/>
          <w:iCs w:val="1"/>
          <w:color w:val="auto"/>
        </w:rPr>
        <w:t>THE BOOK of BOBA FETT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STAR WARS</w:t>
      </w:r>
      <w:r>
        <w:rPr>
          <w:rFonts w:ascii="Times New Roman" w:cs="Times New Roman" w:eastAsia="Times New Roman" w:hAnsi="Times New Roman"/>
          <w:sz w:val="18"/>
          <w:szCs w:val="18"/>
          <w:color w:val="auto"/>
        </w:rPr>
        <w:t xml:space="preserve"> series </w:t>
      </w:r>
      <w:r>
        <w:rPr>
          <w:rFonts w:ascii="Times New Roman" w:cs="Times New Roman" w:eastAsia="Times New Roman" w:hAnsi="Times New Roman"/>
          <w:sz w:val="18"/>
          <w:szCs w:val="18"/>
          <w:i w:val="1"/>
          <w:iCs w:val="1"/>
          <w:color w:val="auto"/>
        </w:rPr>
        <w:t>OBI-WAN KENOBI</w:t>
      </w:r>
      <w:r>
        <w:rPr>
          <w:rFonts w:ascii="Times New Roman" w:cs="Times New Roman" w:eastAsia="Times New Roman" w:hAnsi="Times New Roman"/>
          <w:sz w:val="18"/>
          <w:szCs w:val="18"/>
          <w:color w:val="auto"/>
        </w:rPr>
        <w:t>, both streaming on Disney+. In addition, Partner Brands net revenues benefited from the introduction of the Company's line of FORTNITE action figures during the first six months of 2022. These increases were partially offset by net revenue declines from DISNEY FROZEN and BEYBLADE products and to a lesser extent, DISNEY PRINCESS and TROLLS products during the first half of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HASBRO GAMING: </w:t>
      </w:r>
      <w:r>
        <w:rPr>
          <w:rFonts w:ascii="Times New Roman" w:cs="Times New Roman" w:eastAsia="Times New Roman" w:hAnsi="Times New Roman"/>
          <w:sz w:val="18"/>
          <w:szCs w:val="18"/>
          <w:color w:val="auto"/>
        </w:rPr>
        <w:t>Net revenues in the Hasbro Gaming portfolio decreased 5% in the first six months of 2022 compared to the first six months of 2021</w:t>
      </w:r>
    </w:p>
    <w:p>
      <w:pPr>
        <w:spacing w:after="0" w:line="29"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 xml:space="preserve">driven primarily by lower net revenues from the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digital game launched during the second quarter 2021 with no comparable release in 2022.</w:t>
      </w:r>
    </w:p>
    <w:p>
      <w:pPr>
        <w:spacing w:after="0" w:line="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revenues for Hasbro’s total gaming category, including the Hasbro Gaming portfolio as reported above and all other gaming revenue, most notably from MAGIC: THE GATHERING and MONOPOLY products, which are included in the Franchise Brands portfolio, were $907.1 million, an increase of 3%, in the first six months of 2022 versus $884.7 million in the first six months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5" w:name="page36"/>
    <w:bookmarkEnd w:id="35"/>
    <w:p>
      <w:pPr>
        <w:ind w:right="16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EMERGING BRANDS: </w:t>
      </w:r>
      <w:r>
        <w:rPr>
          <w:rFonts w:ascii="Times New Roman" w:cs="Times New Roman" w:eastAsia="Times New Roman" w:hAnsi="Times New Roman"/>
          <w:sz w:val="18"/>
          <w:szCs w:val="18"/>
          <w:color w:val="auto"/>
        </w:rPr>
        <w:t>Net revenues from the Emerging Brands portfolio grew 3% for the first six months of 2022 compared to the first six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Net revenue increases during the first half of 2022 were driven by POWER RANGERS products and to a lesser extent, PJ MASKS and FURREAL FRIENDS products, partially offset by lower net revenues from G.I. JOE and SUPER SOAKER products.</w:t>
      </w:r>
    </w:p>
    <w:p>
      <w:pPr>
        <w:spacing w:after="0" w:line="19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TV/FILM/ENTERTAINMENT: </w:t>
      </w:r>
      <w:r>
        <w:rPr>
          <w:rFonts w:ascii="Times New Roman" w:cs="Times New Roman" w:eastAsia="Times New Roman" w:hAnsi="Times New Roman"/>
          <w:sz w:val="18"/>
          <w:szCs w:val="18"/>
          <w:color w:val="auto"/>
        </w:rPr>
        <w:t>Net revenues from the TV/Film/Entertainment portfolio decreased 10% for the first six months of 2022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of 2021. Lower net revenues in 2022 were driven by the sale of eOne Music at the start of the third quarter 2021, which represented $65.2 million or 17% of TV, Film and Entertainment portfolio net revenues during the first six months of 2021. In the first six months of 2022, higher net revenues from unscripted television deliveries, compared to the first six months of 2021 where deliveries were limited or delayed due to the impact of the COVID-19 pandemic, and higher film revenues, were offset by lower scripted television net revenues due primarily to the timing of deliveries during the first six months of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Beginning in 2022, intangible amortization costs related to the intangible assets acquired in the eOne acquisition have been allocated between the Consumer Products and Entertainment segments to match the revenue generated from such intangible assets. In 2021, comparable intangible amortization costs were recorded within the Entertainment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external revenues and operating profit (loss) data for the Company's principal segments for the quarters ended June 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June 27,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16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Net revenues</w:t>
            </w:r>
          </w:p>
        </w:tc>
        <w:tc>
          <w:tcPr>
            <w:tcW w:w="53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260" w:firstLine="8"/>
        <w:spacing w:after="0" w:line="305" w:lineRule="auto"/>
        <w:tabs>
          <w:tab w:leader="none" w:pos="108"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Entertainment segment net revenues and operating loss, for the quarter ended June 27, 2021 include $33.4 million and ($94.9) million, respectively, from eOne Music, which was sold at the beginning of the third quarter of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Products Segment</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quarters ended June 26, 2022 and June 27,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Consumer Products segment net revenues increased 7% to $734.2 million for the second quarter of 2022 compared to $689.2 million for the second quarter of 2021 and included the impact of an unfavorable $19.1 million currency translation, most notably from the Company's European markets. Drivers of the net revenue increase include higher sales of the Company's products for MARVEL, higher sales of PLAY-DOH and PEPPA PIG products, and higher sales of POWER RANGERS, PJ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36" w:name="page37"/>
    <w:bookmarkEnd w:id="36"/>
    <w:p>
      <w:pPr>
        <w:ind w:right="180"/>
        <w:spacing w:after="0" w:line="258" w:lineRule="auto"/>
        <w:rPr>
          <w:sz w:val="20"/>
          <w:szCs w:val="20"/>
          <w:color w:val="auto"/>
        </w:rPr>
      </w:pPr>
      <w:r>
        <w:rPr>
          <w:rFonts w:ascii="Times New Roman" w:cs="Times New Roman" w:eastAsia="Times New Roman" w:hAnsi="Times New Roman"/>
          <w:sz w:val="18"/>
          <w:szCs w:val="18"/>
          <w:color w:val="auto"/>
        </w:rPr>
        <w:t>MASKS and MY LITTLE PONY products. Partially offsetting these increases were lower sales of MONOPOLY products and lower sales of the Company's products for DISNEY FROZEN, as well as lower sales of BEYBLADE, TRANSFORMERS and GI JOE products. Net revenues increased in North America and in Latin American markets during the second quarter of 2022. Absent the unfavorable foreign currency exchange impact of $14.9 million in Europe, and to a lesser extent, $2.8 million in Asia Pacific, net revenues remained relatively flat in the Company's Europe and Asia Pacific regions.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Consumer Products segment operating losses for the second quarter of 2022 were $6.5 million or 0.9% of segment net revenues, compared to segment operating profit of $17.8 million or 2.6% of segment net revenues, for the second quarter of 2021. As noted above, to align with the revenue generated from the assets acquired in the eOne acquisition, Consumer Products segment operating profit in the second quarter of 2022 includes $9.6 million of intangible asset amortization costs. In 2021, the comparable costs were reported in the Entertainment segment results. This allocation of intangible amortization drove a 1.3% decline in operating margin for the Consumer Products segment. The remaining operating profit decrease in the second quarter of 2022 was driven by higher product costs, including higher inventory obsolescence costs related to products in Russia and higher distribution costs as a result of global supply chain disruptions. These negative impacts were partially offset by price increases implemented during the second half of 2021 and the first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Wizards of the Coast and Digital Gaming Segment</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quarters ended June 26, 2022 and June 27,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Tabletop Gaming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Digital and Licensed Gaming</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Wizards of the Coast and Digital Gaming segment net revenues increased 3% in the second quarter of 2022 to $419.8 million from $406.3 million in the second quarter of 2021 and included the impact of an unfavorable $8.2 million foreign currency translation.</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net revenue increase in the Wizards of the Coast and Digital Gaming segment during the second quarter of 2022 was attributable to net revenue increases from Wizards of the Coast tabletop gaming products, most notably, MAGIC: THE GATHERING, driven by sales of the </w:t>
      </w:r>
      <w:r>
        <w:rPr>
          <w:rFonts w:ascii="Times New Roman" w:cs="Times New Roman" w:eastAsia="Times New Roman" w:hAnsi="Times New Roman"/>
          <w:sz w:val="18"/>
          <w:szCs w:val="18"/>
          <w:i w:val="1"/>
          <w:iCs w:val="1"/>
          <w:color w:val="auto"/>
        </w:rPr>
        <w:t>Commander Legends: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Battle for Baldur's Gate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Double Masters </w:t>
      </w:r>
      <w:r>
        <w:rPr>
          <w:rFonts w:ascii="Times New Roman" w:cs="Times New Roman" w:eastAsia="Times New Roman" w:hAnsi="Times New Roman"/>
          <w:sz w:val="18"/>
          <w:szCs w:val="18"/>
          <w:color w:val="auto"/>
        </w:rPr>
        <w:t>set releases, and, to a lesser extent, higher licensed digital gaming net revenues. These increases were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offset by lower digital gaming net revenues from the mobile version of </w:t>
      </w:r>
      <w:r>
        <w:rPr>
          <w:rFonts w:ascii="Times New Roman" w:cs="Times New Roman" w:eastAsia="Times New Roman" w:hAnsi="Times New Roman"/>
          <w:sz w:val="18"/>
          <w:szCs w:val="18"/>
          <w:i w:val="1"/>
          <w:iCs w:val="1"/>
          <w:color w:val="auto"/>
        </w:rPr>
        <w:t>Magic: The Gathering Arena</w:t>
      </w:r>
      <w:r>
        <w:rPr>
          <w:rFonts w:ascii="Times New Roman" w:cs="Times New Roman" w:eastAsia="Times New Roman" w:hAnsi="Times New Roman"/>
          <w:sz w:val="18"/>
          <w:szCs w:val="18"/>
          <w:color w:val="auto"/>
        </w:rPr>
        <w:t xml:space="preserve"> and from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released during the second quarter of 2021.</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operating profit was $225.6 million, or 53.7% of segment net revenues for the second quarter of 2022, compared to operating profit of $192.9 million, or 47.5% of segment net revenues, for the second quarter of 2021. The operating profit increase during the second quarter of 2022 was the result of higher sales combined with lower product development costs, lower advertising costs and lower depreciation , compared to second quarter 2021 costs in support of the launch of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These cost decreases in the second quarter of 2022 were partially offset by higher product input costs associated with tabletop gaming and higher freight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quarters ended June 26, 2022 and June 27,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TV</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Music and Other </w:t>
            </w: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*Music and Other category net revenues for the quarter ended June 27, 2021 includes $33.4 million related to eOne Music, which was sold at the beginning of the third quarter of 2021.</w:t>
      </w:r>
    </w:p>
    <w:p>
      <w:pPr>
        <w:spacing w:after="0" w:line="1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Entertainment segment net revenues declined 18% to $185.2 million for the second quarter of 2022, compared to $226.7 million for the second quarter of 2021 and included the impact of an unfavorable $5.4 million foreign currency translation. The net revenue decrease during the second quarter of 2022 was driven by the sale of eOne Music business in the third quarter of 2021 which accounted for $33.4 million or 14.7% of segment net revenues in the second quarter of 2021. In addition, the net revenue decrease in the second quarter of 2022 was primarily due to the timing of scripted television deliveries, most notably, </w:t>
      </w:r>
      <w:r>
        <w:rPr>
          <w:rFonts w:ascii="Times New Roman" w:cs="Times New Roman" w:eastAsia="Times New Roman" w:hAnsi="Times New Roman"/>
          <w:sz w:val="18"/>
          <w:szCs w:val="18"/>
          <w:i w:val="1"/>
          <w:iCs w:val="1"/>
          <w:color w:val="auto"/>
        </w:rPr>
        <w:t>CRUEL SUMMER</w:t>
      </w:r>
      <w:r>
        <w:rPr>
          <w:rFonts w:ascii="Times New Roman" w:cs="Times New Roman" w:eastAsia="Times New Roman" w:hAnsi="Times New Roman"/>
          <w:sz w:val="18"/>
          <w:szCs w:val="18"/>
          <w:color w:val="auto"/>
        </w:rPr>
        <w:t xml:space="preserve"> season two expected in the third quarter of 2022, compared to </w:t>
      </w:r>
      <w:r>
        <w:rPr>
          <w:rFonts w:ascii="Times New Roman" w:cs="Times New Roman" w:eastAsia="Times New Roman" w:hAnsi="Times New Roman"/>
          <w:sz w:val="18"/>
          <w:szCs w:val="18"/>
          <w:i w:val="1"/>
          <w:iCs w:val="1"/>
          <w:color w:val="auto"/>
        </w:rPr>
        <w:t>CRUEL SUMMER</w:t>
      </w:r>
      <w:r>
        <w:rPr>
          <w:rFonts w:ascii="Times New Roman" w:cs="Times New Roman" w:eastAsia="Times New Roman" w:hAnsi="Times New Roman"/>
          <w:sz w:val="18"/>
          <w:szCs w:val="18"/>
          <w:color w:val="auto"/>
        </w:rPr>
        <w:t xml:space="preserve"> season one which was delivered in the second quarter of 2021. These decreases were partially offset by higher net revenues from unscripted television deliveries compared to the second quarter of 2021, and higher film licensing revenues.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Entertainment segment operating profit was $14.3 million, or 7.7% of segment net revenues for the second quarter of 2022 compared to operating losses of $113.7 million, or 50.2% of segment net revenues for the second quarter of 2021. The operating profit increase during the second quarter of 2022 was primarily driven by the second quarter 2021 non-cash impairment charge of $101.8 million associated with the sale of eOne Music. Absent the impact of the loss on the Music sale, the second quarter 2022 operating profit increase was driven by lower program amortization costs reflecting the mix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8" w:name="page39"/>
    <w:bookmarkEnd w:id="38"/>
    <w:p>
      <w:pPr>
        <w:ind w:right="140"/>
        <w:spacing w:after="0" w:line="282" w:lineRule="auto"/>
        <w:rPr>
          <w:sz w:val="20"/>
          <w:szCs w:val="20"/>
          <w:color w:val="auto"/>
        </w:rPr>
      </w:pPr>
      <w:r>
        <w:rPr>
          <w:rFonts w:ascii="Times New Roman" w:cs="Times New Roman" w:eastAsia="Times New Roman" w:hAnsi="Times New Roman"/>
          <w:sz w:val="18"/>
          <w:szCs w:val="18"/>
          <w:color w:val="auto"/>
        </w:rPr>
        <w:t>programming delivered during the second quarter of 2022, lower advertising and administrative costs and the allocation of $9.6 million of intangible asset amortization costs to the Consumer Products segment in 2022, as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Corporate and Other segment operating losses were $14.3 million for the second quarter of 2022 compared to operating losses of $20.4 million for the second quarter of 2021. The decline in operating losses in the second quarter of 2022 was primarily the result of lower administrative expenses. Operating losses in 2021 included $9.5 million of transaction costs associated with the sale of eOne Music.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Six Months 2022</w:t>
      </w:r>
    </w:p>
    <w:p>
      <w:pPr>
        <w:spacing w:after="0" w:line="20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and operating profit (loss) for the Company's principal segments for each of the six-month periods ended June 26, 2022 and June 27, 2021.</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00" w:type="dxa"/>
            <w:vAlign w:val="bottom"/>
          </w:tcPr>
          <w:p>
            <w:pPr>
              <w:spacing w:after="0"/>
              <w:rPr>
                <w:sz w:val="15"/>
                <w:szCs w:val="15"/>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1660" w:type="dxa"/>
            <w:vAlign w:val="bottom"/>
          </w:tcPr>
          <w:p>
            <w:pPr>
              <w:jc w:val="right"/>
              <w:ind w:right="650"/>
              <w:spacing w:after="0" w:line="174"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7"/>
              </w:rPr>
              <w:t>Net revenues</w:t>
            </w:r>
          </w:p>
        </w:tc>
        <w:tc>
          <w:tcPr>
            <w:tcW w:w="53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Products segment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Wizards of the Coast and Digital Gaming segment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Entertainment segment </w:t>
            </w:r>
            <w:r>
              <w:rPr>
                <w:rFonts w:ascii="Times New Roman" w:cs="Times New Roman" w:eastAsia="Times New Roman" w:hAnsi="Times New Roman"/>
                <w:sz w:val="23"/>
                <w:szCs w:val="23"/>
                <w:color w:val="auto"/>
                <w:vertAlign w:val="superscript"/>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Operating Profit (Loss)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 segment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Wizards of the Coast and Digital Gaming segment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Entertainment segment </w:t>
            </w:r>
            <w:r>
              <w:rPr>
                <w:rFonts w:ascii="Times New Roman" w:cs="Times New Roman" w:eastAsia="Times New Roman" w:hAnsi="Times New Roman"/>
                <w:sz w:val="23"/>
                <w:szCs w:val="23"/>
                <w:color w:val="auto"/>
                <w:vertAlign w:val="superscript"/>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60" w:firstLine="8"/>
        <w:spacing w:after="0" w:line="305" w:lineRule="auto"/>
        <w:tabs>
          <w:tab w:leader="none" w:pos="108"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Entertainment segment net revenues and operating loss, for the six-month period ended June 27, 2021 include $65.2 million and ($91.8) million, respectively, from eOne Music, which was sold at the beginning of the third quarter of 2021.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Products Segment</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six-month periods ended June 26, 2022 and June 27,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Consumer Products segment net revenues increased 5% to $1,407.0 million for the first six months of 2022 compared to $1,343.1 million for the first six months of 2021 and included the impact of an unfavorable $32.6 million currency translation. The drivers of the net revenue increase include higher sales of the Company's Partner Brands for MARVEL, as well as higher sales of PEPPA PIG and PLAY-DOH products. To a lesser extent, higher sales of MY LITTLE PONY, POWER RANGERS and PJ MASKS products and higher sales of the Company's Partner Brands for STAR WARS contributed to the increase. Partially offsetting these increases were lower sales of certain Partner Brands, notably, the Company's products for DISNEY FROZEN and BEYBLADE and lower sales of MONOPOLY and TRANSFORMERS products. Net revenues increased in North America and in Latin American markets during the first six months of 2022 while net revenues declined in the Asia Pacific. In Europe, absent the unfavorable foreign currency exchange impact of $26.9 million, net revenues remained relatively flat.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ind w:right="60"/>
        <w:spacing w:after="0" w:line="254" w:lineRule="auto"/>
        <w:rPr>
          <w:sz w:val="20"/>
          <w:szCs w:val="20"/>
          <w:color w:val="auto"/>
        </w:rPr>
      </w:pPr>
      <w:r>
        <w:rPr>
          <w:rFonts w:ascii="Times New Roman" w:cs="Times New Roman" w:eastAsia="Times New Roman" w:hAnsi="Times New Roman"/>
          <w:sz w:val="18"/>
          <w:szCs w:val="18"/>
          <w:color w:val="auto"/>
        </w:rPr>
        <w:t>Consumer Products segment operating profit for the first six months of 2022 was $2.1 million or 0.1% of segment net revenues, compared to segment operating profit of $50.1 million or 3.7% of segment net revenues, for the first six months of 2021. As noted above, in alignment with the revenue generated from the assets acquired in the eOne acquisition, Consumer Products segment operating profit for the first six months of 2022 includes $19.9 million of intangible amortization, which in 2021 was reported within the Entertainment segment results. This allocation of intangible amortization drove a 1.5% decline in operating margin for the Consumer Products segment. The remaining operating profit decrease in the first six months of 2022 was driven by higher product costs, including higher inventory reserves related to Russia, higher distribution costs driven by increased freight costs as a result of global supply chain, disruptions as well as higher marketing and sales costs. These negative impacts were partially offset by price increases implemented during the second half 2021 and during the first half of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Wizards of the Coast and Digital Gaming Segment</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six-month periods ended June 26, 2022 and June 27,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Tabletop Gaming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Digital and Licensed Gaming</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Wizards of the Coast and Digital Gaming segment net revenues increased 5% in the first six months of 2022 to $682.6 million from $648.5 million in the first six months of 2021 and included the impact of an unfavorable $11.1 million foreign currency translation.</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The net revenue increase in the Wizards of the Coast and Digital Gaming segment during the first six months of 2022 was driven primarily by higher net revenues from Wizards of the Coast table-top gaming products, most notably, MAGIC: THE GATHERING, due to the number of strong performing card set releases. In addition to the net revenue increases from the Company's Wizards of the Coast table-top gaming business, the segment benefited from growth in certain of the Company's licensed digital games. These net revenue increases were partially offset by lower digital gaming net revenues from </w:t>
      </w:r>
      <w:r>
        <w:rPr>
          <w:rFonts w:ascii="Times New Roman" w:cs="Times New Roman" w:eastAsia="Times New Roman" w:hAnsi="Times New Roman"/>
          <w:sz w:val="18"/>
          <w:szCs w:val="18"/>
          <w:i w:val="1"/>
          <w:iCs w:val="1"/>
          <w:color w:val="auto"/>
        </w:rPr>
        <w:t xml:space="preserve">Dungeons &amp; Dragons: Dark Alliance </w:t>
      </w:r>
      <w:r>
        <w:rPr>
          <w:rFonts w:ascii="Times New Roman" w:cs="Times New Roman" w:eastAsia="Times New Roman" w:hAnsi="Times New Roman"/>
          <w:sz w:val="18"/>
          <w:szCs w:val="18"/>
          <w:color w:val="auto"/>
        </w:rPr>
        <w:t>and the mobile version of</w:t>
      </w:r>
      <w:r>
        <w:rPr>
          <w:rFonts w:ascii="Times New Roman" w:cs="Times New Roman" w:eastAsia="Times New Roman" w:hAnsi="Times New Roman"/>
          <w:sz w:val="18"/>
          <w:szCs w:val="18"/>
          <w:i w:val="1"/>
          <w:iCs w:val="1"/>
          <w:color w:val="auto"/>
        </w:rPr>
        <w:t xml:space="preserve"> Magic: The Gathering</w:t>
      </w:r>
      <w:r>
        <w:rPr>
          <w:rFonts w:ascii="Times New Roman" w:cs="Times New Roman" w:eastAsia="Times New Roman" w:hAnsi="Times New Roman"/>
          <w:sz w:val="18"/>
          <w:szCs w:val="18"/>
          <w:color w:val="auto"/>
        </w:rPr>
        <w:t>, released during the second quarter of 2021.</w:t>
      </w:r>
    </w:p>
    <w:p>
      <w:pPr>
        <w:spacing w:after="0" w:line="1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Wizards of the Coast and Digital Gaming segment operating profit was $332.0 million, or 48.6% of segment net revenues for the first six months of 2022, compared to operating profit of $302.9 million, or 46.7% of segment net revenues for the first six months of 2021. The operating profit increase during the first six months of 2022 was the result of higher sales volumes as described above, lower advertising expenses and depreciation costs, compared to the first six months of 2021, where the Company incurred higher costs associated with the launch of the mobile version of Magic: The Gathering Arena and Dungeons &amp; Dragons: Dark Alliance. These increases to operating profit were partially offset by higher freight costs and higher product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six-month periods ended June 26, 2022 and June 27,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TV</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Music and Other *</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*Music and Other category net revenues for the six-month period ended June 27, 2021 includes $65.2 million from eOne Music, which was sold at the beginning of the third quarter of 2021.</w:t>
      </w:r>
    </w:p>
    <w:p>
      <w:pPr>
        <w:spacing w:after="0" w:line="11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Entertainment segment net revenues for the six months ended June 26, 2022 decreased 7% to $412.7 million from $445.4 million for the six months ended June 27, 2021 and included the impact of an unfavorable $6.4 million foreign currency translation. The segment net revenue decrease was driven by the sale of eOne Music business in the third quarter of 2021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t>accounted for $65.2 million or 14.6% of segment net revenues in the first six months of 2021. During the first six months of 2022, higher net revenues from live shows, unscripted programming deliveries and higher net revenues from streaming content sales related to programming featuring the Company's brands were partially offset by lower net revenues from scripted television deliveries.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Entertainment segment operating profit was $26.5 million, or 6.4% of net revenues, for the six months ended June 26, 2022, compared to operating losses of $96.7 million, or 21.7% of segment net revenues, for the six months ended June 27, 2021. The operating profit increase during the first six months of 2022 was driven by the second quarter 2021 non-cash impairment charge of $101.8 million associated with the sale of eOne Music. Absent the impact of the loss on the Music sale, the operating profit increase in the first six months of 2022 was driven by the allocation of $19.9 million of intangible asset amortization costs to the Consumer Products segment in the first six months of 2022, as described above and lower royalty and advertising and promotion expenses. These increases to operating profit were partially offset by the sale of eOne Music combined with higher program amortization costs reflecting the mix of programming delivered during the first six months of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losses in the Corporate and Other Segment for the first six months of 2022 were $21.5 million, compared to operating losses of $32.4 million for the first six months of 2021. The decline in operating losses during the first six months of 2022 was the result of lower royalty expense, partially offset by higher product development costs and higher administrative expenses. Operating losses in 2021 included $9.5 million of transaction costs associated with the sale of eOne Music and retention costs of $3.8 million in relation to the eOne acquisition.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Second Quarter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costs and expenses, stated as percentages of net revenues, are illustrated below for the quarters ended June 26, 2022 and June 27,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7800" w:type="dxa"/>
            <w:vAlign w:val="bottom"/>
          </w:tcPr>
          <w:p>
            <w:pPr>
              <w:spacing w:after="0"/>
              <w:rPr>
                <w:sz w:val="19"/>
                <w:szCs w:val="19"/>
                <w:color w:val="auto"/>
              </w:rPr>
            </w:pP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bl>
    <w:p>
      <w:pPr>
        <w:spacing w:after="0" w:line="2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Cost of sales for the second quarter of 2022 was $411.5 million, or 30.7% of net revenues, compared to $345.0 million, or 26.1% of net revenues, for the second quarter of 2021. The cost of sales increase in dollars and as a percent of net revenues was driven by higher sales volumes and higher product costs, including higher freight costs, and higher inventory obsolescence charges including reserves related to inventory in Russia.</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Program cost amortization decreased to $80.7 million, or 6.0% of net revenues, for the second quarter of 2022 from $110.7 million, or 8.4% of net revenues, for the second quarter of 2021. Program costs are capitalized as incurred and amortized primarily using the individual-film-forecast method which matches costs to the related recognized revenue. The decrease in dollars and as a percent of net revenues during the second quarter of 2022 was driven by lower sales volume within the Entertainment segment, due primarily to the timing of deliveries and the mix of content delivered, compared to the second quarter of 2021.</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Royalty expense for the second quarter of 2022 decreased to $110.1 million, or 8.2% of net revenues, compared to $111.5 million, or 8.4% of net revenues, for the second quarter of 2021. Fluctuations in royalty expense are generally related to the volume of content releases and deliveries and entertainment-driven products sold. Royalty expense during the second quarter of 2022 was consistent with the second quarter of 2021, including lower expense due to the impact of the sale of eOne Music during 2021 and the mix of Film and TV deliveries during the quarter. These declines were offset by higher expense in the Consumer Products segment driven by an increase in partner brand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t>Product development expense for the second quarter of 2022 was $79.2 million, or 5.9% of net revenues, compared to $87.2 million, or 6.6% of net revenues, for the second quarter of 2021. The decrease was primarily related to lower costs within Wizards digital gaming due to the launch of games in the second quarter of 2021.</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Advertising expense for the second quarter of 2022 was $84.2 million, or 6.3% of net revenues, compared to $105.4 million, or 8.0% of net revenues, for the second quarter of 2021. Advertising spend is generally impacted by revenue mix and the number and type of entertainment releases delivered. The advertising expense decrease during the second quarter of 2022 was driven by lower expense within the Entertainment segment, as well as lower expense within the Wizards of the Coast and Digital Gaming segment, compared to the second quarter 2021, where advertising expense was driven by support for the launch of the mobile version of </w:t>
      </w:r>
      <w:r>
        <w:rPr>
          <w:rFonts w:ascii="Times New Roman" w:cs="Times New Roman" w:eastAsia="Times New Roman" w:hAnsi="Times New Roman"/>
          <w:sz w:val="18"/>
          <w:szCs w:val="18"/>
          <w:i w:val="1"/>
          <w:iCs w:val="1"/>
          <w:color w:val="auto"/>
        </w:rPr>
        <w:t>Magic: The Gathering Arena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with no comparable releases in 2022.</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decreased to $27.2 million, or 2.0% of net revenues, for the second quarter of 2022, compared to $29.7 million, or 2.2% of net revenues, for the second quarter of 2021. The decrease in 2022 is related to the discontinuation of amortization related to the eOne Music intangible assets following the sale of eOne Music in the third quarter of 2021, partially offset by additional expense associated with assets acquired through the D&amp;D Beyond Acquisition during the second quarter of 2022.</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Selling, distribution and administration expenses decreased to $327.2 million, or 24.4% of net revenues for the second quarter of 2022, from $354.3 million, or 26.8% of net revenues, for the second quarter of 2021. The decrease in selling, distribution and administration expenses reflects lower incentive compensation accruals and lower depreciation expense in 2022 compared to depreciation expense in the second quarter of 2021 associated with the launch of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These decreases were partially offset by increased costs associated with consulting and other professional services for the Company's annual shareholder meeting.</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loss on assets held for sale of $101.8 million, or 7.7% of net revenues during the second quarter of 2021, represents a non-cash impairment charge associated with the disposition of eOne Music.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Six Months of 2022</w:t>
      </w:r>
    </w:p>
    <w:p>
      <w:pPr>
        <w:spacing w:after="0" w:line="12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The Company's costs and expenses, stated as percentages of net revenues, are illustrated below for the six-month periods ended June 26, 2022 and June 27,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7620" w:type="dxa"/>
            <w:vAlign w:val="bottom"/>
          </w:tcPr>
          <w:p>
            <w:pPr>
              <w:spacing w:after="0"/>
              <w:rPr>
                <w:sz w:val="19"/>
                <w:szCs w:val="19"/>
                <w:color w:val="auto"/>
              </w:rPr>
            </w:pP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1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Cost of sales for the six months ended June 26, 2022 increased to $744.6 million, or 29.8% of net revenues, from $634.9 million, or 26.1% of net revenues for the six months ended June 27, 2021. The cost of sales increase in dollars and as a percent of net revenues was due to higher sales volumes and higher product input costs, including higher freight and material costs, as well as higher inventory obsolescence charges.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Program cost amortization increased in the first six months of 2022 to $219.2 million, or 8.8% of net revenues, from $208.2 million, or 8.5% of net revenues, in the first six months of 2021. The program cost amortization increase in dollars and as a percent of net revenues during the first six months of 2022, was driven by the volume and mix of both scripted and unscripted programming revenues during the first half of 2022 compared to the first half of 2021.</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Royalty expense for the six months ended June 26, 2022 was $200.2 million, or 8.0% of net revenues, compared to $220.4 million, or 9.0% of net revenues, for the six months ended June 27, 2021. The decrease in royalty expense in dollars was driven by the impact of the sale of eOne Music and the mix of Film and TV deliveries during the first six months of 2022. In addition, certain licensing agreements acquired through the eOne acquisition expired, which carried higher royalty expenses in prior periods. The decrease in royalty expense as a percent of net revenues during the first six months of 2022 was the result of a higher percentage of product sales that do not carry significant royalty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2" w:name="page43"/>
    <w:bookmarkEnd w:id="42"/>
    <w:p>
      <w:pPr>
        <w:ind w:right="140"/>
        <w:spacing w:after="0" w:line="266" w:lineRule="auto"/>
        <w:rPr>
          <w:sz w:val="20"/>
          <w:szCs w:val="20"/>
          <w:color w:val="auto"/>
        </w:rPr>
      </w:pPr>
      <w:r>
        <w:rPr>
          <w:rFonts w:ascii="Times New Roman" w:cs="Times New Roman" w:eastAsia="Times New Roman" w:hAnsi="Times New Roman"/>
          <w:sz w:val="18"/>
          <w:szCs w:val="18"/>
          <w:color w:val="auto"/>
        </w:rPr>
        <w:t>Product development expense for the six months ended June 26, 2022 was $148.8 million, or 5.9% of net revenues, from $149.0 million, or 6.1% of net revenues, for the six months ended June 27, 2021. Product development expense in the first six months of 2022 was consistent with the first six months of 2021, reflecting the Company’s continued investment in innovation and anticipated growth across our brand and entertainment portfolios.</w:t>
      </w:r>
    </w:p>
    <w:p>
      <w:pPr>
        <w:spacing w:after="0" w:line="6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Advertising expense for the six months ended June 26, 2022 was $161.8 million, or 6.5% of net revenues, compared to $193.3 million, or 7.9% of net revenues, for the six months ended June 27, 2021. The advertising expense decrease during the first six months of 2022 was driven by lower expense within the Entertainment segment related to the sale of the eOne Music business combined with a shift in the type of entertainment releases delivered, as well as lower expense within the Wizards of the Coast and Digital Gaming segment, compared to the first half of 2021, where advertising expense was driven by support for the launch of the mobile version of </w:t>
      </w:r>
      <w:r>
        <w:rPr>
          <w:rFonts w:ascii="Times New Roman" w:cs="Times New Roman" w:eastAsia="Times New Roman" w:hAnsi="Times New Roman"/>
          <w:sz w:val="18"/>
          <w:szCs w:val="18"/>
          <w:i w:val="1"/>
          <w:iCs w:val="1"/>
          <w:color w:val="auto"/>
        </w:rPr>
        <w:t>Magic: The Gathering Arena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with no comparable releases in 2022.</w:t>
      </w:r>
    </w:p>
    <w:p>
      <w:pPr>
        <w:spacing w:after="0" w:line="7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was $54.3 million, or 2.2% of net revenues, for the six months ended June 26, 2022 compared to $62.6 million, or 2.6% of net revenues, in the first six months of 2021. The decrease in 2022 is related to the discontinuation of amortization related to the eOne Music intangible assets following the sale of eOne Music in the third quarter of 2021. This decline was slightly offset by additional expense associated with assets acquired through the D&amp;D Beyond Acquisition during the second quarter of 2022.</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six months ended June 26, 2022, the Company's selling, distribution and administration expenses decreased to $634.3 million, or 25.3% of net revenues, from $642.9 million, or 26.4% of net revenues, for the six months ended June 27, 2021. The decrease in selling, distribution and administration expenses reflects lower depreciation expense, primarily related to the Company's digital gaming business compared to the first six months of 2021, lower compensation accruals and lower administrative costs as a result of the sale of eOne Music during 2021. These decreases were partially offset by higher marketing and sales costs within the Consumer Products segment, consistent with the increase in net revenues during the first six months of 2022.</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loss on disposal of business of $101.8 million, or 4.2% of net revenues during the first six months of 2021, represents a non-cash impairment charge associated with the disposition of eOne Music.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EXPENSE (INCOME)</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Interest expense for the second quarter and first six months of 2022 totaled $41.7 million and $83.3 million, respectively, compared to $46.1 million and $94.0 million in the second quarter and first six months of 2021, respectively. The decrease in interest expense during the second quarter and first half of 2022 primarily reflects long-term debt repayments made throughout 2021 and during the first half of 2022, related to borrowings utilized for the eOne acquisition.</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income was $2.7 million and $4.8 million for the second quarter and first six months of 2022, respectively, compared to $1.2 million and $2.4 million in the second quarter and first six months of 2021, respectively. Higher average interest rates in 2022 compared to 2021 contributed to the increase for the three and six-month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was $0.2 million and $0.5 million for the second quarter and first six months of 2022, respectively, compared to other income, net of</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$9.4 million and $38.3 million in the second quarter and first six months of 2021, respectively. The decline in 2022 was primarily driven by a $26.7 million gain from a legal settlement realized during the first six months of 2021 with no comparable gain in 2022, lower earnings from the Company's joint venture with Discovery and foreign exchange losses during the first six months of 2022 compared to gains during the first half of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15" w:lineRule="exact"/>
        <w:rPr>
          <w:sz w:val="20"/>
          <w:szCs w:val="20"/>
          <w:color w:val="auto"/>
        </w:rPr>
      </w:pPr>
    </w:p>
    <w:p>
      <w:pPr>
        <w:spacing w:after="0" w:line="266" w:lineRule="auto"/>
        <w:rPr>
          <w:sz w:val="20"/>
          <w:szCs w:val="20"/>
          <w:color w:val="auto"/>
        </w:rPr>
      </w:pPr>
      <w:r>
        <w:rPr>
          <w:rFonts w:ascii="Calibri" w:cs="Calibri" w:eastAsia="Calibri" w:hAnsi="Calibri"/>
          <w:sz w:val="20"/>
          <w:szCs w:val="20"/>
          <w:color w:val="auto"/>
        </w:rPr>
        <w:t>I</w:t>
      </w:r>
      <w:r>
        <w:rPr>
          <w:rFonts w:ascii="Times New Roman" w:cs="Times New Roman" w:eastAsia="Times New Roman" w:hAnsi="Times New Roman"/>
          <w:sz w:val="17"/>
          <w:szCs w:val="17"/>
          <w:color w:val="auto"/>
        </w:rPr>
        <w:t>ncome tax expense totaled $39.4 million on pre-tax income of $179.9 million in the second quarter of 2022 compared to income tax expense of $63.0</w:t>
      </w: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million on pre-tax income of $41.1 million in the second quarter of 2021. For the six-month periods, income tax expense totaled $56.7 million on pre-tax income of $260.1 million in 2022, compared to an income tax expense of $75.0 million on pretax income of $170.6 million in 2021. Both periods were impacted by discrete tax events including the accrual of potential interest and penalties on uncertain tax positions. During the first six months of 2022, favorable discrete tax adjustments were a net benefit of $3.2 million compared to a net expense of $17.4 million in the first six months of 2021. The favorable discrete tax adjustments for the first six months of 2022 primarily relate to the release of certain valuation allowances during the first quarter. The unfavorable discrete tax adjustments for the first six months of 2021 were primarily associated with the revaluation of net deferred tax liabilities as a result of the United Kingdom's ("UK") enactment of Finance Act 2021 during the second quarter, which will increase the UK corporate income tax rate from 19% to 25% as of April 1, 2023. This was reduced by the release of a valuation allowance on net operating losses that offset income received from a one-time legal settlement and certain tax benefits, including the reversal of uncertain tax positions that resulted from statutes of limitations expiring in certain jurisdictions and operational tax planning during the second quarter. In addition, included in the second quarter of 2021 was an impairment expense on assets held for sale from which there was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ind w:right="180"/>
        <w:spacing w:after="0" w:line="282" w:lineRule="auto"/>
        <w:rPr>
          <w:sz w:val="20"/>
          <w:szCs w:val="20"/>
          <w:color w:val="auto"/>
        </w:rPr>
      </w:pPr>
      <w:r>
        <w:rPr>
          <w:rFonts w:ascii="Times New Roman" w:cs="Times New Roman" w:eastAsia="Times New Roman" w:hAnsi="Times New Roman"/>
          <w:sz w:val="18"/>
          <w:szCs w:val="18"/>
          <w:color w:val="auto"/>
        </w:rPr>
        <w:t>corresponding tax benefit. Absent discrete items, the tax rates for the first six months of 2022 and 2021 were 23.0% and 22.6% respectively. The increase in the base rate of 23.0% for the first six months of 2022 is primarily due to the mix of jurisdictions where the Company earned its profits.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Seasonality and Shipments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Within the retail sector, the Company’s revenue pattern from toys and games and licensed consumer products continues to show the second half of the year to be more significant to its overall business for the full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Quick response inventory management practices being used by retailers as well as growth in ecommerce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the current holiday selling season as they had anticipated, their demand for additional product earlier in the following fiscal year may be curtailed, thus negatively impacting the Company’s future revenues. However, more recently the Company's inventory levels reflect ongoing global supply chain disruptions, which began in late 2020 as economies slowly recovered from COVID-19 shutdowns, while consumer demand began to outpace the capacity of the global supply chain infrastructure. Supply chain constraints, including overcrowding of cargo ports and shipping container and truck transportation shortages have also led to higher costs for ocean, air and over the road freight and delays in the availability of products, as inventory remains in transit for extended periods of time. These and other disruptions are expected to continue throughout 2022. During the first six months of 2022, the Company accelerated certain inventory purchases, to ensure sufficient finished goods and raw material availability ahead of expected periods of high consumer demand. As a result, the Company expects inventory shipments to peak earlier in 2022 as compared to the historical timeline of August to December.</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Russian Sanctions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military conflict in Ukraine, which has led to sanctions and other penalties being levied by the United States, European Union and other countries against Russia, the Company has paused all shipments and new content distribution into Russia. The Company’s consolidated financial statements reflect certain reserves as of June 26, 2022, primarily related to inventory and accounts receivable, and will be impacted by a loss of revenue and operating profit in the second half of 2022. For the full year 2021, our revenue in Russia was $115 million, with approximately 70% earned in the second half of the year. Any longstanding disruptions may magnify the impact of other risks described in this Quarterly Report on Form 10-Q and in the Company's Annual Report on Form 10-K for the year ended December 26,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 Updates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27, 2022, there were no recently adopted accounting standards that had a material effect on the Company’s financial statements. The Company's significant accounting policies are summarized in note 1 to the consolidated financial statements included in the Company's Annual Report on Form 10-K for the year ended December 26,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In March of 2020, the FASB issued Accounting Standards Update No. 2020-04 (ASU 2020-04) Reference Rate Reform (Topic 848): </w:t>
      </w:r>
      <w:r>
        <w:rPr>
          <w:rFonts w:ascii="Times New Roman" w:cs="Times New Roman" w:eastAsia="Times New Roman" w:hAnsi="Times New Roman"/>
          <w:sz w:val="18"/>
          <w:szCs w:val="18"/>
          <w:i w:val="1"/>
          <w:iCs w:val="1"/>
          <w:color w:val="auto"/>
        </w:rPr>
        <w:t>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Reference Rate Reform on Financial Reporting. </w:t>
      </w:r>
      <w:r>
        <w:rPr>
          <w:rFonts w:ascii="Times New Roman" w:cs="Times New Roman" w:eastAsia="Times New Roman" w:hAnsi="Times New Roman"/>
          <w:sz w:val="18"/>
          <w:szCs w:val="18"/>
          <w:color w:val="auto"/>
        </w:rPr>
        <w:t>The amendments in this update provide optional expedients and exceptions for applying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4" w:name="page45"/>
    <w:bookmarkEnd w:id="44"/>
    <w:p>
      <w:pPr>
        <w:ind w:right="440"/>
        <w:spacing w:after="0" w:line="282" w:lineRule="auto"/>
        <w:rPr>
          <w:sz w:val="20"/>
          <w:szCs w:val="20"/>
          <w:color w:val="auto"/>
        </w:rPr>
      </w:pPr>
      <w:r>
        <w:rPr>
          <w:rFonts w:ascii="Times New Roman" w:cs="Times New Roman" w:eastAsia="Times New Roman" w:hAnsi="Times New Roman"/>
          <w:sz w:val="18"/>
          <w:szCs w:val="18"/>
          <w:color w:val="auto"/>
        </w:rPr>
        <w:t>beginning March 12, 2020 through December 31, 2022. The change from LIBOR to an alternate rate has not had a material impact on the Company's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historically generated a significant amount of cash from operations. In the first six months of 2022 and 2021, the Company primarily funded its operations and liquidity needs through cash on hand and from cash flows from operations, and when needed, used borrowings under its available lines of credit. In addition, the Company’s Entertainment operating segment used production financing to fund certain of its television and film productions which are arranged on an individual production basis using either the Company's revolving film and television production credit facility or through special purpose production subsidiaries. For more information on the Company's production financing facilities, including expected future repayments, see note 7 to the consolidated financial statements included in Part I of this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to fund its working capital needs primarily through available cash, cash flows from operations and from production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facilities and, if needed, by issuing commercial paper or borrowing under its revolving credit agreement. In the event that the Company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issue commercial paper, the Company intends to utilize its available lines of credit. The Company believes that the funds available to it,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expected to be generated from operations, funds available through its commercial paper program or its available lines of credit and production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are adequate to meet its working capital needs for the remainder of 2022, including the repayment of the current portion of long-term debt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$137.0 million, as shown on the consolidated balance sheets, which represents the current portion of required quarterly principal amortization payments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term loan facilities and other short-term production financing facilities, each as described below. The Company may also issue debt or equity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to provide additional sources of liquidity when pursuing opportunities to enhance our long-term competitive position, while maintaining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strong balance sheet. However, unexpected events or circumstances such as material operating losses or increased capital or other expenditures,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inability to otherwise access the commercial paper market, may reduce or eliminate the availability of external financial resources. In addition,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disruptions to credit markets may also reduce or eliminate the availability of external financial resources. Although the Company believes the risk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nonperformance by the counterparties to its financial facilities is not significant, in times of severe economic downturn in the credit markets, it is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one or more sources of external financing may be unable or unwilling to provide funding to the Company.</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26, 2022, the Company's cash and cash equivalents totaled $628.2 million, of which $41.9 million is restricted under the Company’s production financing facilities.</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Cuts and Jobs Act of 2017 ("the Tax Act") provided significant changes to the U.S. tax system including the elimination of the ability to defer U.S. income tax on unrepatriated earnings by imposing a one-time mandatory deemed repatriation tax on undistributed foreign earnings. As of June 26, 2022, the Company had a total liability of $137.7 million related to this tax, $34.4 million is reflected in current liabilities while the remaining long-term payable related to the Tax Act of $103.3 million is presented within other liabilities, non-current on the consolidated balance sheets included in Part I of this Form 10-Q. As permitted by the Tax Act, the Company will pay the transition tax in annual interest-free installments through 2025. As a result, in the future, the related earnings in foreign jurisdictions will be made available with greater investment flexibility. The majority of the Company’s cash and cash equivalents held outside of the United States as of June 26, 2022 are denominated in the U.S. dollar.</w:t>
      </w:r>
    </w:p>
    <w:p>
      <w:pPr>
        <w:spacing w:after="0" w:line="16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45" w:name="page46"/>
    <w:bookmarkEnd w:id="45"/>
    <w:p>
      <w:pPr>
        <w:ind w:right="240"/>
        <w:spacing w:after="0" w:line="276" w:lineRule="auto"/>
        <w:rPr>
          <w:sz w:val="20"/>
          <w:szCs w:val="20"/>
          <w:color w:val="auto"/>
        </w:rPr>
      </w:pPr>
      <w:r>
        <w:rPr>
          <w:rFonts w:ascii="Times New Roman" w:cs="Times New Roman" w:eastAsia="Times New Roman" w:hAnsi="Times New Roman"/>
          <w:sz w:val="18"/>
          <w:szCs w:val="18"/>
          <w:color w:val="auto"/>
        </w:rPr>
        <w:t>The table below outlines key financial information (in millions of dollars) pertaining to our consolidated balance sheets including the period-over-period changes.</w:t>
      </w:r>
    </w:p>
    <w:tbl>
      <w:tblPr>
        <w:tblLayout w:type="fixed"/>
        <w:tblInd w:w="0" w:type="dxa"/>
        <w:tblCellMar>
          <w:top w:w="0" w:type="dxa"/>
          <w:left w:w="0" w:type="dxa"/>
          <w:bottom w:w="0" w:type="dxa"/>
          <w:right w:w="0" w:type="dxa"/>
        </w:tblCellMar>
      </w:tblPr>
      <w:tr>
        <w:trPr>
          <w:trHeight w:val="224"/>
        </w:trPr>
        <w:tc>
          <w:tcPr>
            <w:tcW w:w="63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26, 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27, 2021</w:t>
            </w:r>
          </w:p>
        </w:tc>
        <w:tc>
          <w:tcPr>
            <w:tcW w:w="10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$41.9 and $83.1)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2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Accounts receivable increased 1% to $870.5 million at June 26, 2022, compared to $865.9 million at June 27, 2021. Absent the unfavorable foreign currency exchange impact of $27.8 million, accounts receivable increased 4% or $32.5 million. The increase in accounts receivable was driven by higher sales during the first six months of 2022, partially offset by improved collections. Days sales outstanding decreased from 60 days at June 27, 2021 to 59 days at June 26, 2022.</w:t>
      </w:r>
    </w:p>
    <w:p>
      <w:pPr>
        <w:spacing w:after="0" w:line="15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Inventories increased 74% to $867.5 million as of June 26, 2022, compared to $499.6 million at June 27, 2021. Absent the unfavorable foreign currency exchange impact of $36.2 million, inventories increased 81% or $404.1 million. The increase in 2022 inventory balances reflects accelerated inventory purchases in the first half of 2022 in an effort to mitigate the impact of certain global supply chain challenges, including increased lead-times and higher freight-in costs, most notably in the U.S. and Europe, attributable to the Company's Consumer Products and Wizards of the Coast tabletop gaming businesses.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increased 32% to $719.2 million at June 26, 2022 from $543.2 million at June 27, 2021. The increase was driven by higher accrued tax credit balances related to film and television production costs, due to increased productions and timing of tax credit claims, as well as higher accrued royalty and licensing balances, primarily attributable to the Company's Entertainment business and higher unrealized gains on foreign exchange contracts. These increases were partially offset by lower prepaid royalty balances in relation to the Company’s MARVEL, POWER RANGERS and DISNEY PRINCESS royalty agreements and from lower prepaid tax balances during the second quarter 2022.</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assets increased 1% to $1,367.6 million at June 26, 2022 from $1,350.5 million at June 27, 2021. The increase was driven by higher long-term accrued income balances related to certain of the Company's content distribution arrangements and increased non-current receivable balances within the Entertainment segment. These increases were partially offset by a lower balance for the Company's investment in Discovery Family Channel, due to an impairment charge recorded in the fourth quarter of 2021 and distributions received in the first six months of 2022, and from certain content and production assets sold in connection with the sale of eOne Music during the third quarter of 2021.</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payable and accrued liabilities increased 8% to $1,923.2 million at June 26, 2022 from $1,778.9 million at June 27, 2021 driven by higher account payable balances due to increased inventory purchases, higher accrued freight balances due to increased costs as a result of supply chain disruptions, higher accrued royalty balances due to higher sales of partner brand products, as well as higher participations and residuals and higher accrued tax balances. These increases were partially offset by lower deferred revenue balances due to the timing of certain scripted television content deliveries, lower accounts payable and accrued liabilities balances associated with the sale of eOne Music, lower incentive compensation accruals and lower severance accruals from payments made in relation to restructuring actions taken in 2020.</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liabilities decreased 24% to $570.0 million at June 26, 2022 from $753.0 million at June 27, 2021. The decrease was driven by lower long-term lease liability balances, lower long-term deferred tax liability balances due to the sale of eOne Music during the third quarter of 2021, a lower transition tax liability balance reflecting the reclassification of the 2022 installment payment due April 2023, a lower Discovery option agreement balance due to a revaluation of the Discovery Family Channel investment during the fourth quarter of 2021, and lower deferred revenue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Consolidated Statement of Cash Flows, expressed in millions of dollars, for the six-month periods ended June 26, 2022 and June 27,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June 26, 2022</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27, 2021</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(utilized for):</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147.8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r>
      <w:tr>
        <w:trPr>
          <w:trHeight w:val="229"/>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0"/>
                <w:szCs w:val="20"/>
                <w:color w:val="auto"/>
              </w:rPr>
            </w:pPr>
          </w:p>
        </w:tc>
        <w:tc>
          <w:tcPr>
            <w:tcW w:w="1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w:t>
            </w:r>
          </w:p>
        </w:tc>
      </w:tr>
    </w:tbl>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 the first six months of 2022 was $147.8 million compared to $577.1 million in the first six months of 2021. The $429.3 million decrease in net cash provided by operating activities was primarily attributable to higher working capital requirements, including higher inventory costs, higher incentive bonus payments, higher royalty payments and higher freight costs due to ongoing supply chain constraints.</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utilized for investing activities was $212.6 million in the first six months of 2022 compared to $66.3 million in the first six months of 2021. The increase in cash used reflects a cash payment of $146.3 million related to the D&amp;D Beyond Acquisition during the second quarter of 2022. Additions to property, plant and equipment were $75.8 million in the first six months of 2022 compared to $63.1 million in the first six months of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utilized for financing activities was $319.9 million in the first six months of 2022 compared to $718.4 million in the first six months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2021. Financing activities in the first six months of 2022 include payments totaling $57.5 million related to the $1.0 billion in term loans described below, consisting of a $50.0 million principal and quarterly principal amortization payment of $7.5 million toward the Five-Year Tranche loan, as well as drawdowns of $137.7 million and repayments of $133.3 million related to production financing loans and cash payments of $124.0 million to repurchases the Company's common stock. Financing activities in the first six months of 2021 included the repayment of $300.0 million aggregate principal amount of 3.15% Notes and payments totaling $265.0 million related to the $1.0 billion in term loans consisting of $250.0 million towards the principal balance of the Three-Year Tranche loans and quarterly principal payments totaling $15.0 million. In addition, the Company had drawdowns of $114.7 million and repayments of $70.2 million related to production financing loans.</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Dividends paid in the first six months of 2022 totaled $191.9 million, compared to $187.5 million in the first six months of 2021 reflecting a higher dividend rate commencing with the May 2022 dividend payment. Beginning with employee stock incentive awards granted in 2022, the payment of cash dividends to shareholders also results in the crediting of Dividend Equivalent Units (“DEUs”) to holders of restricted stock units ("RSUs") and contingent stock performance awards ("PSUs") granted under the Company’s Restated 2003 Stock Incentive Plan, as amended, for employees as described in Note 14 in the Company's Annual Report on Form 10-K for the year ended December 26, 2021. The DEUs will be credited as additional RSUs or PSUs and settled concurrently with the vesting of associated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commits to inventory production, advertising and marketing expenditures in support of its consumer products business, prior to the peak fourth quarter retail selling season. Accounts receivable typically increase during the third and fourth quarter as customers increase their purchases to meet consumer demand expected in the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In the Company's entertainment business, expenditures of cash for productions are often made well in advance of sale and delivery of the content produced. Trading card and digital gaming revenues have shorter collection periods, but product development expense often occurs years prior to release and revenue generation. During the first six months of 2022 and 2021, the Company primarily used cash from operations and, to a lesser extent, borrowings under available lines of credit, in particular production financing vehicles, to fund its working capital.</w:t>
      </w:r>
    </w:p>
    <w:p>
      <w:pPr>
        <w:spacing w:after="0" w:line="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47" w:name="page48"/>
    <w:bookmarkEnd w:id="47"/>
    <w:p>
      <w:pPr>
        <w:ind w:right="140"/>
        <w:spacing w:after="0" w:line="256" w:lineRule="auto"/>
        <w:rPr>
          <w:sz w:val="20"/>
          <w:szCs w:val="20"/>
          <w:color w:val="auto"/>
        </w:rPr>
      </w:pPr>
      <w:r>
        <w:rPr>
          <w:rFonts w:ascii="Times New Roman" w:cs="Times New Roman" w:eastAsia="Times New Roman" w:hAnsi="Times New Roman"/>
          <w:sz w:val="18"/>
          <w:szCs w:val="18"/>
          <w:color w:val="auto"/>
        </w:rPr>
        <w:t>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June 26, 2022, the Company had no outstanding borrowings related to the Program.</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June 26, 2022. The Company had no borrowings outstanding under its committed revolving credit facility as of June 26, 2022. However, letters of credit outstanding under this facility as of June 26, 2022 were approximately $3.1 million. Amounts available and unused under the committed line at June 26, 2022 were approximately $1.5 billion, inclusive of borrowings under the Company’s commercial paper program. The Company also has other uncommitted lines from various banks, of which approximately $10.5 million was utilized at June 26, 2022. Of the amount utilized under, or supported by, the uncommitted lines, approximately $9.6 million and $0.9 million represent letters of credit and outstanding short-term borrowings, respectively.</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As of June 26, 2022, the Company has fully repaid the Three-Year Tranche $400.0 million principal term loan, and of the Five-Year Tranche $600.0 million principal balance, the Company has repaid a total of $260.0 million in the following increments: $22.5 million in 2020; $180.0 million in 2021; and, $57.5 million in the first six months of 2022 consisting of $50.0 million principal and a quarterly principal amortization payment of $7.5 million. The Company is subject to certain financial covenants contained in this agreement and as of June 26, 2022, the Company was in compliance with these covenants. The terms of the Term Loan Facilities are described in note 7 to the consolidated financial statements included in Part I of this Form 10-Q.</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During the third quarter of 2021 </w:t>
      </w:r>
      <w:r>
        <w:rPr>
          <w:rFonts w:ascii="Times New Roman" w:cs="Times New Roman" w:eastAsia="Times New Roman" w:hAnsi="Times New Roman"/>
          <w:sz w:val="18"/>
          <w:szCs w:val="18"/>
          <w:color w:val="212529"/>
        </w:rPr>
        <w:t>the Company repaid in full, its 2022 Notes in the aggregate principal amount of $300.0 million, including</w:t>
      </w:r>
      <w:r>
        <w:rPr>
          <w:rFonts w:ascii="Times New Roman" w:cs="Times New Roman" w:eastAsia="Times New Roman" w:hAnsi="Times New Roman"/>
          <w:sz w:val="18"/>
          <w:szCs w:val="18"/>
          <w:color w:val="auto"/>
        </w:rPr>
        <w:t xml:space="preserve"> early redemption premiums and accrued interest of $10.8 million. The terms of the Notes are described in note 7 to the consolidated financial statements in Part I of this Form 10-Q.</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uses production financing facilities to fund its film and television productions which are arranged on an individual production basis by either special purpose production subsidiaries, each secured by the assets and future revenues of such production subsidiaries, which are non-recourse to the Company's assets, or through a senior revolving credit facility obtained in November 2021, dedicated to production financing.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The Company expects to utilize the revolving production financing facility for the majority of its future production financing needs. During the first six months of 2022, the Company had total drawdowns of $137.7 million and repayments of $133.3 million towards these production financing facilities. As of June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8" w:name="page49"/>
    <w:bookmarkEnd w:id="48"/>
    <w:p>
      <w:pPr>
        <w:ind w:right="240"/>
        <w:spacing w:after="0" w:line="266" w:lineRule="auto"/>
        <w:rPr>
          <w:sz w:val="20"/>
          <w:szCs w:val="20"/>
          <w:color w:val="auto"/>
        </w:rPr>
      </w:pPr>
      <w:r>
        <w:rPr>
          <w:rFonts w:ascii="Times New Roman" w:cs="Times New Roman" w:eastAsia="Times New Roman" w:hAnsi="Times New Roman"/>
          <w:sz w:val="18"/>
          <w:szCs w:val="18"/>
          <w:color w:val="auto"/>
        </w:rPr>
        <w:t>2022, the Company had outstanding production financing borrowings related to these facilities of $175.0 million, $77.0 million of which are recorded within the current portion of long-term debt and $98.0 million are recorded within short-term borrowings in the Company's consolidated balance sheets, included in Part I of this Form 10-Q.</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principal amounts of long-term debt as of June 26, 2022 of $3.9 billion, due at varying times from 2024 through 2044. Of the total principal amount of long-term debt, $137.0 million is current at June 26, 2022 of which $60.0 million is related to principal amortization of the 5-year term loans due December 2024 and $77.0 million represents the Company's outstanding production financing facilities described above. During the first quarter of 2021, the Company repaid in full its 3.15% Notes in the aggregate principal amount of $300.0 million due in May 2021, including accrued interest. </w:t>
      </w:r>
      <w:r>
        <w:rPr>
          <w:rFonts w:ascii="Times New Roman" w:cs="Times New Roman" w:eastAsia="Times New Roman" w:hAnsi="Times New Roman"/>
          <w:sz w:val="18"/>
          <w:szCs w:val="18"/>
          <w:color w:val="212529"/>
        </w:rPr>
        <w:t>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the Company’s other long-term borrowings have contractual maturities that occur subsequent to the third quarter of 2024, with the exception of certain of the Company’s production financing facilities discussed above.</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also had letters of credit and other similar instruments of approximately $12.8 million and purchase commitments of approximately $413.3 million outstanding at June 26, 2022.</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contractual obligations and commercial commitments, as detailed in the Company's 2021 Form 10-K, did not materially change outside of certain payments made in the normal course of business and as otherwise set forth in this report.</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 long history of returning cash to its shareholders through quarterly dividends and share repurchases. Hasbro increased the quarterly dividend rate from $0.68 per share to $0.70 per share effective for the dividend paid in May 2022. The Company also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Following the Company's acquisition of eOne, the Company temporarily suspended its share repurchase program to prioritize deleveraging. In April 2022, given the Company's progress towards reducing debt, the Company resumed its share repurchase activity and repurchased approximately 1.4 million shares at a total cost of $124.0 million and at an average price of $87.48 per share. At June 26, 2022, the Company had $242.6 million remaining under these share repurchase authorizations. Share repurchases are subject to market conditions, the availability of funds and other uses of funds.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w:t>
      </w:r>
    </w:p>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 and intangible assets, income taxes and business combinations. Additionally, the Company identified the valuation of the Company’s equity method investment in Discovery Family Channel as a significant accounting estimate. These critical accounting policies are the same as those detailed in the Company's 2021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American and Asia Pacific countries.</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manage this exposure, the Company has hedged a portion of its forecasted foreign currency transactions using foreign exchange forward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49" w:name="page50"/>
    <w:bookmarkEnd w:id="49"/>
    <w:p>
      <w:pPr>
        <w:ind w:right="120"/>
        <w:spacing w:after="0" w:line="282" w:lineRule="auto"/>
        <w:rPr>
          <w:sz w:val="20"/>
          <w:szCs w:val="20"/>
          <w:color w:val="auto"/>
        </w:rPr>
      </w:pPr>
      <w:r>
        <w:rPr>
          <w:rFonts w:ascii="Times New Roman" w:cs="Times New Roman" w:eastAsia="Times New Roman" w:hAnsi="Times New Roman"/>
          <w:sz w:val="18"/>
          <w:szCs w:val="18"/>
          <w:color w:val="auto"/>
        </w:rPr>
        <w:t>Company may make or receive intercompany loans in currencies other than their functional currency. The Company manages this exposure at the time the loan is made by using foreign exchange contracts.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reflects derivatives at their fair value as an asset or liability on the consolidated balance sheets. The Company does not speculate in foreign currency exchange contracts. At June 26, 2022, these contracts had net unrealized gains of $19.0 million, of which $19.3 million of unrealized gains are recorded in prepaid expenses and other current assets, $0.5 million of unrealized gains are recorded in other assets and $0.8 million of unrealized losses are recorded in accrued liabilities. Included in accumulated other comprehensive loss at June 26, 2022 are deferred gains, net of tax, of $15.8 million, related to these derivatives.</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June 26, 2022, the Company had principal amounts of long-term debt of $3.9 billion. In May 2014, the Company issued an aggregate $600.0 million of long-term debt which consisted of $300.0 million of 3.15% Notes, subsequently repaid in 2021, and $300.0 million of 5.10% Notes due 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June 26, 2022 are deferred losses, net of tax, of $15.2 million related to these derivatives.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INFLATION</w:t>
      </w:r>
    </w:p>
    <w:p>
      <w:pPr>
        <w:spacing w:after="0" w:line="121"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The impact of inflation on the Company's business operations has been significant during the first six months of 2022 compared to prior years. However, due to mitigating actions taken by the Company, such as price increases where deemed necessary, the impact of general price inflation on our financial position and results of operations has been reduced. The Company continues to monitor the impact of inflation to its business operations on an ongoing basis and may need to adjust its prices further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1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Part I, Item 2. "Management's Discussion and Analysis of Financial Condition and Results of Operations" and is incorporated herein by reference.</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9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26, 2022. Based on the evaluation of these disclosure controls and procedures, the Chief Executive Officer and Chief Financial Officer concluded that the Company's disclosure controls and procedures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5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promulgated under the Exchange Act, during the quarter ended June 26, 2022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0" w:name="page51"/>
    <w:bookmarkEnd w:id="50"/>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212529"/>
        </w:rPr>
        <w:t>In connection with information set forth in this Quarterly Report on Form 10-Q, the risk factors discussed under Item 1A. Risk Factors, in Part I of our 2021 Form 10-K and in our subsequent filings, including in this filing, should be considered. The risks set forth in our 2021 Form 10-K and in our subsequent filings, including in this filing, could materially and adversely affect our business, financial condition, and results of operations. There are no material changes from the risk factors as previously disclosed in our 2021 10-K, in any of our subsequently filed reports or as otherwise set forth in this Quarterly Report.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Made in the Quarter (in whole dollars and number of shares)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30"/>
              <w:spacing w:after="0" w:line="181" w:lineRule="exact"/>
              <w:rPr>
                <w:sz w:val="20"/>
                <w:szCs w:val="20"/>
                <w:color w:val="auto"/>
              </w:rPr>
            </w:pPr>
            <w:r>
              <w:rPr>
                <w:rFonts w:ascii="Times New Roman" w:cs="Times New Roman" w:eastAsia="Times New Roman" w:hAnsi="Times New Roman"/>
                <w:sz w:val="18"/>
                <w:szCs w:val="18"/>
                <w:color w:val="auto"/>
              </w:rPr>
              <w:t>Maximum</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(c) Total</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Number (or</w:t>
            </w:r>
          </w:p>
        </w:tc>
        <w:tc>
          <w:tcPr>
            <w:tcW w:w="0" w:type="dxa"/>
            <w:vAlign w:val="bottom"/>
          </w:tcPr>
          <w:p>
            <w:pPr>
              <w:spacing w:after="0"/>
              <w:rPr>
                <w:sz w:val="1"/>
                <w:szCs w:val="1"/>
                <w:color w:val="auto"/>
              </w:rPr>
            </w:pPr>
          </w:p>
        </w:tc>
      </w:tr>
      <w:tr>
        <w:trPr>
          <w:trHeight w:val="184"/>
        </w:trPr>
        <w:tc>
          <w:tcPr>
            <w:tcW w:w="5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8"/>
              </w:rPr>
              <w:t>Approximate</w:t>
            </w: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5"/>
                <w:szCs w:val="15"/>
                <w:color w:val="auto"/>
              </w:rPr>
            </w:pPr>
          </w:p>
        </w:tc>
        <w:tc>
          <w:tcPr>
            <w:tcW w:w="12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Dollar</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Shares (or</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6"/>
              </w:rPr>
              <w:t>Value) of</w:t>
            </w:r>
          </w:p>
        </w:tc>
        <w:tc>
          <w:tcPr>
            <w:tcW w:w="0" w:type="dxa"/>
            <w:vAlign w:val="bottom"/>
          </w:tcPr>
          <w:p>
            <w:pPr>
              <w:spacing w:after="0"/>
              <w:rPr>
                <w:sz w:val="1"/>
                <w:szCs w:val="1"/>
                <w:color w:val="auto"/>
              </w:rPr>
            </w:pPr>
          </w:p>
        </w:tc>
      </w:tr>
      <w:tr>
        <w:trPr>
          <w:trHeight w:val="184"/>
        </w:trPr>
        <w:tc>
          <w:tcPr>
            <w:tcW w:w="5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Units)</w:t>
            </w:r>
          </w:p>
        </w:tc>
        <w:tc>
          <w:tcPr>
            <w:tcW w:w="160" w:type="dxa"/>
            <w:vAlign w:val="bottom"/>
          </w:tcPr>
          <w:p>
            <w:pPr>
              <w:spacing w:after="0"/>
              <w:rPr>
                <w:sz w:val="16"/>
                <w:szCs w:val="16"/>
                <w:color w:val="auto"/>
              </w:rPr>
            </w:pPr>
          </w:p>
        </w:tc>
        <w:tc>
          <w:tcPr>
            <w:tcW w:w="12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rPr>
              <w:t>Shares (or</w:t>
            </w: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(a) Total</w:t>
            </w:r>
          </w:p>
        </w:tc>
        <w:tc>
          <w:tcPr>
            <w:tcW w:w="200" w:type="dxa"/>
            <w:vAlign w:val="bottom"/>
          </w:tcPr>
          <w:p>
            <w:pPr>
              <w:spacing w:after="0"/>
              <w:rPr>
                <w:sz w:val="15"/>
                <w:szCs w:val="15"/>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(b)</w:t>
            </w:r>
          </w:p>
        </w:tc>
        <w:tc>
          <w:tcPr>
            <w:tcW w:w="142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Purchased</w:t>
            </w:r>
          </w:p>
        </w:tc>
        <w:tc>
          <w:tcPr>
            <w:tcW w:w="160" w:type="dxa"/>
            <w:vAlign w:val="bottom"/>
          </w:tcPr>
          <w:p>
            <w:pPr>
              <w:spacing w:after="0"/>
              <w:rPr>
                <w:sz w:val="15"/>
                <w:szCs w:val="15"/>
                <w:color w:val="auto"/>
              </w:rPr>
            </w:pPr>
          </w:p>
        </w:tc>
        <w:tc>
          <w:tcPr>
            <w:tcW w:w="12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Units) that</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as Part of</w:t>
            </w:r>
          </w:p>
        </w:tc>
        <w:tc>
          <w:tcPr>
            <w:tcW w:w="160" w:type="dxa"/>
            <w:vAlign w:val="bottom"/>
          </w:tcPr>
          <w:p>
            <w:pPr>
              <w:spacing w:after="0"/>
              <w:rPr>
                <w:sz w:val="15"/>
                <w:szCs w:val="15"/>
                <w:color w:val="auto"/>
              </w:rPr>
            </w:pPr>
          </w:p>
        </w:tc>
        <w:tc>
          <w:tcPr>
            <w:tcW w:w="120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May Yet Be</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Publicly</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Purchased</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Shares (or</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rPr>
              <w:t>Price Paid</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Announced</w:t>
            </w:r>
          </w:p>
        </w:tc>
        <w:tc>
          <w:tcPr>
            <w:tcW w:w="16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Under the</w:t>
            </w:r>
          </w:p>
        </w:tc>
        <w:tc>
          <w:tcPr>
            <w:tcW w:w="0" w:type="dxa"/>
            <w:vAlign w:val="bottom"/>
          </w:tcPr>
          <w:p>
            <w:pPr>
              <w:spacing w:after="0"/>
              <w:rPr>
                <w:sz w:val="1"/>
                <w:szCs w:val="1"/>
                <w:color w:val="auto"/>
              </w:rPr>
            </w:pPr>
          </w:p>
        </w:tc>
      </w:tr>
      <w:tr>
        <w:trPr>
          <w:trHeight w:val="175"/>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Units)</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per Share</w:t>
            </w: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Plans or</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Plans or</w:t>
            </w:r>
          </w:p>
        </w:tc>
        <w:tc>
          <w:tcPr>
            <w:tcW w:w="0" w:type="dxa"/>
            <w:vAlign w:val="bottom"/>
          </w:tcPr>
          <w:p>
            <w:pPr>
              <w:spacing w:after="0"/>
              <w:rPr>
                <w:sz w:val="1"/>
                <w:szCs w:val="1"/>
                <w:color w:val="auto"/>
              </w:rPr>
            </w:pPr>
          </w:p>
        </w:tc>
      </w:tr>
      <w:tr>
        <w:trPr>
          <w:trHeight w:val="230"/>
        </w:trPr>
        <w:tc>
          <w:tcPr>
            <w:tcW w:w="5600" w:type="dxa"/>
            <w:vAlign w:val="bottom"/>
            <w:vMerge w:val="continue"/>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(or Unit)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Programs</w:t>
            </w:r>
          </w:p>
        </w:tc>
        <w:tc>
          <w:tcPr>
            <w:tcW w:w="16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Programs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3/28/22 – 4/24/22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357,594,683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4/25/22 – 5/29/22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286,610,640</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2022</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5/30/22 – 6/26/22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242,622,186</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242,622,186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May 2018, the Company announced that its Board of Directors authorized the repurchase of an additional $500 million of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1" w:name="page52"/>
    <w:bookmarkEnd w:id="5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91" w:lineRule="exact"/>
        <w:rPr>
          <w:sz w:val="20"/>
          <w:szCs w:val="20"/>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83">
        <w:r>
          <w:rPr>
            <w:rFonts w:ascii="Times New Roman" w:cs="Times New Roman" w:eastAsia="Times New Roman" w:hAnsi="Times New Roman"/>
            <w:sz w:val="18"/>
            <w:szCs w:val="18"/>
            <w:u w:val="single" w:color="auto"/>
            <w:color w:val="0000FF"/>
          </w:rPr>
          <w:t>Restated Articles of Incorporation of the Company. (Incorporated by reference to Exhibit 3.1 to the Company's Quarterly Report on Form</w:t>
        </w:r>
      </w:hyperlink>
    </w:p>
    <w:p>
      <w:pPr>
        <w:ind w:left="980"/>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10-Q for the period ended July 2, 2000, File No. 1-6682.)</w:t>
        </w:r>
      </w:hyperlink>
    </w:p>
    <w:p>
      <w:pPr>
        <w:spacing w:after="0" w:line="70" w:lineRule="exact"/>
        <w:rPr>
          <w:sz w:val="20"/>
          <w:szCs w:val="20"/>
          <w:color w:val="auto"/>
        </w:rPr>
      </w:pPr>
    </w:p>
    <w:p>
      <w:pPr>
        <w:ind w:left="980" w:right="10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 </w:t>
      </w:r>
      <w:hyperlink r:id="rId84">
        <w:r>
          <w:rPr>
            <w:rFonts w:ascii="Times New Roman" w:cs="Times New Roman" w:eastAsia="Times New Roman" w:hAnsi="Times New Roman"/>
            <w:sz w:val="18"/>
            <w:szCs w:val="18"/>
            <w:u w:val="single" w:color="auto"/>
            <w:color w:val="0000FF"/>
          </w:rPr>
          <w:t>Amendment to Articles of Incorporation, dated June 28, 2000. (Incorporated by reference to Exhibit 3.4 to the Company's Quarterly Report</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on Form 10-Q for the period ended July 2, 2000, File No. 1-6682.)</w:t>
        </w:r>
      </w:hyperlink>
    </w:p>
    <w:p>
      <w:pPr>
        <w:spacing w:after="0" w:line="64" w:lineRule="exact"/>
        <w:rPr>
          <w:sz w:val="20"/>
          <w:szCs w:val="20"/>
          <w:color w:val="auto"/>
        </w:rPr>
      </w:pPr>
    </w:p>
    <w:p>
      <w:pPr>
        <w:ind w:left="980" w:right="4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3.3 </w:t>
      </w:r>
      <w:hyperlink r:id="rId85">
        <w:r>
          <w:rPr>
            <w:rFonts w:ascii="Times New Roman" w:cs="Times New Roman" w:eastAsia="Times New Roman" w:hAnsi="Times New Roman"/>
            <w:sz w:val="18"/>
            <w:szCs w:val="18"/>
            <w:u w:val="single" w:color="auto"/>
            <w:color w:val="0000FF"/>
          </w:rPr>
          <w:t>Amendment to Articles of Incorporation, dated May 19, 2003. (Incorporated by reference to Exhibit 3.3 to the Company's Quarterly Report</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on Form 10-Q for the period ended June 29, 2003, File No. 1-6682.)</w:t>
        </w:r>
      </w:hyperlink>
    </w:p>
    <w:p>
      <w:pPr>
        <w:spacing w:after="0" w:line="64" w:lineRule="exact"/>
        <w:rPr>
          <w:sz w:val="20"/>
          <w:szCs w:val="20"/>
          <w:color w:val="auto"/>
        </w:rPr>
      </w:pPr>
    </w:p>
    <w:p>
      <w:pPr>
        <w:ind w:left="980" w:right="2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3.4 </w:t>
      </w:r>
      <w:hyperlink r:id="rId86">
        <w:r>
          <w:rPr>
            <w:rFonts w:ascii="Times New Roman" w:cs="Times New Roman" w:eastAsia="Times New Roman" w:hAnsi="Times New Roman"/>
            <w:sz w:val="18"/>
            <w:szCs w:val="18"/>
            <w:u w:val="single" w:color="auto"/>
            <w:color w:val="0000FF"/>
          </w:rPr>
          <w:t>Amended and Restated Bylaws of the Company, as amended. (Incorporated by reference to Exhibit 3(d) to the Company's Annual Report on</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FF"/>
          </w:rPr>
          <w:t>Form 10-K for the fiscal year ended December 31, 2006, File No. 1-6682.)</w:t>
        </w:r>
      </w:hyperlink>
    </w:p>
    <w:p>
      <w:pPr>
        <w:spacing w:after="0" w:line="64" w:lineRule="exact"/>
        <w:rPr>
          <w:sz w:val="20"/>
          <w:szCs w:val="20"/>
          <w:color w:val="auto"/>
        </w:rPr>
      </w:pPr>
    </w:p>
    <w:p>
      <w:pPr>
        <w:ind w:left="980" w:right="30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3.5 </w:t>
      </w:r>
      <w:hyperlink r:id="rId87">
        <w:r>
          <w:rPr>
            <w:rFonts w:ascii="Times New Roman" w:cs="Times New Roman" w:eastAsia="Times New Roman" w:hAnsi="Times New Roman"/>
            <w:sz w:val="18"/>
            <w:szCs w:val="18"/>
            <w:u w:val="single" w:color="auto"/>
            <w:color w:val="0000FF"/>
          </w:rPr>
          <w:t>Amendment to Amended and Restated Bylaws of the Company, as amended. (Incorporated by reference to Exhibit 3.1 to the Company's</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Current Report on Form 8-K dated August 6, 2014, File No. 1-6682.)</w:t>
        </w:r>
      </w:hyperlink>
    </w:p>
    <w:p>
      <w:pPr>
        <w:spacing w:after="0" w:line="64" w:lineRule="exact"/>
        <w:rPr>
          <w:sz w:val="20"/>
          <w:szCs w:val="20"/>
          <w:color w:val="auto"/>
        </w:rPr>
      </w:pPr>
    </w:p>
    <w:p>
      <w:pPr>
        <w:ind w:left="980" w:right="2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3.6 </w:t>
      </w:r>
      <w:hyperlink r:id="rId88">
        <w:r>
          <w:rPr>
            <w:rFonts w:ascii="Times New Roman" w:cs="Times New Roman" w:eastAsia="Times New Roman" w:hAnsi="Times New Roman"/>
            <w:sz w:val="18"/>
            <w:szCs w:val="18"/>
            <w:u w:val="single" w:color="auto"/>
            <w:color w:val="0000FF"/>
          </w:rPr>
          <w:t>Amendment to Amended and Restated Bylaws of the Company, as amended. (Incorporated by reference to Exhibit 3.1 to the Company’s</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Current Report on Form 8-K dated October 5, 2015, File No. 1-6682.)</w:t>
        </w:r>
      </w:hyperlink>
    </w:p>
    <w:p>
      <w:pPr>
        <w:spacing w:after="0" w:line="64" w:lineRule="exact"/>
        <w:rPr>
          <w:sz w:val="20"/>
          <w:szCs w:val="20"/>
          <w:color w:val="auto"/>
        </w:rPr>
      </w:pPr>
    </w:p>
    <w:p>
      <w:pPr>
        <w:ind w:left="980" w:right="2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3.7 </w:t>
      </w:r>
      <w:hyperlink r:id="rId89">
        <w:r>
          <w:rPr>
            <w:rFonts w:ascii="Times New Roman" w:cs="Times New Roman" w:eastAsia="Times New Roman" w:hAnsi="Times New Roman"/>
            <w:sz w:val="18"/>
            <w:szCs w:val="18"/>
            <w:u w:val="single" w:color="auto"/>
            <w:color w:val="0000FF"/>
          </w:rPr>
          <w:t>Amendment to Amended and Restated Bylaws of the Company, as amended. (Incorporated by reference to Exhibit 3.1 to the Company’s</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Current Report on Form 8-K dated December 10, 2015, File No. 1-6682.)</w:t>
        </w:r>
      </w:hyperlink>
    </w:p>
    <w:p>
      <w:pPr>
        <w:spacing w:after="0" w:line="64" w:lineRule="exact"/>
        <w:rPr>
          <w:sz w:val="20"/>
          <w:szCs w:val="20"/>
          <w:color w:val="auto"/>
        </w:rPr>
      </w:pPr>
    </w:p>
    <w:p>
      <w:pPr>
        <w:ind w:left="9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3.8 </w:t>
      </w:r>
      <w:hyperlink r:id="rId90">
        <w:r>
          <w:rPr>
            <w:rFonts w:ascii="Times New Roman" w:cs="Times New Roman" w:eastAsia="Times New Roman" w:hAnsi="Times New Roman"/>
            <w:sz w:val="18"/>
            <w:szCs w:val="18"/>
            <w:u w:val="single" w:color="auto"/>
            <w:color w:val="0000FF"/>
          </w:rPr>
          <w:t>Certificate of Designations of Series C Junior Participating Preference Stock of Hasbro, Inc. dated June 29, 1999. (Incorporated by reference</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to Exhibit 3.2 to the Company's Quarterly Report on Form 10-Q for the period ended July 2, 2000, File No. 1-6682.)</w:t>
        </w:r>
      </w:hyperlink>
    </w:p>
    <w:p>
      <w:pPr>
        <w:spacing w:after="0" w:line="64" w:lineRule="exact"/>
        <w:rPr>
          <w:sz w:val="20"/>
          <w:szCs w:val="20"/>
          <w:color w:val="auto"/>
        </w:rPr>
      </w:pPr>
    </w:p>
    <w:p>
      <w:pPr>
        <w:ind w:left="980" w:right="66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3.9 </w:t>
      </w:r>
      <w:hyperlink r:id="rId91">
        <w:r>
          <w:rPr>
            <w:rFonts w:ascii="Times New Roman" w:cs="Times New Roman" w:eastAsia="Times New Roman" w:hAnsi="Times New Roman"/>
            <w:sz w:val="18"/>
            <w:szCs w:val="18"/>
            <w:u w:val="single" w:color="auto"/>
            <w:color w:val="0000FF"/>
          </w:rPr>
          <w:t>Certificate of Vote(s) authorizing a decrease of class or series of any class of shares. (Incorporated by reference to Exhibit 3.3 to the</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Company's Quarterly Report on Form 10-Q for the period ended July 2, 2000, File No 1-6682.)</w:t>
        </w:r>
      </w:hyperlink>
    </w:p>
    <w:p>
      <w:pPr>
        <w:spacing w:after="0" w:line="64" w:lineRule="exact"/>
        <w:rPr>
          <w:sz w:val="20"/>
          <w:szCs w:val="20"/>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92">
        <w:r>
          <w:rPr>
            <w:rFonts w:ascii="Times New Roman" w:cs="Times New Roman" w:eastAsia="Times New Roman" w:hAnsi="Times New Roman"/>
            <w:sz w:val="18"/>
            <w:szCs w:val="18"/>
            <w:u w:val="single" w:color="auto"/>
            <w:color w:val="0000FF"/>
          </w:rPr>
          <w:t>Indenture, dated as of July 17, 1998, by and between the Company and The Bank of New York Mellon Trust Company, N.A. as successor</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Trustee to Citibank, N.A. as Trustee. (Incorporated by reference to Exhibit 4.1 to the Company's Current Report on Form 8-K dated July 14,</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1998, File No. 1-6682.)</w:t>
        </w:r>
      </w:hyperlink>
    </w:p>
    <w:p>
      <w:pPr>
        <w:spacing w:after="0" w:line="63" w:lineRule="exact"/>
        <w:rPr>
          <w:rFonts w:ascii="Times New Roman" w:cs="Times New Roman" w:eastAsia="Times New Roman" w:hAnsi="Times New Roman"/>
          <w:sz w:val="18"/>
          <w:szCs w:val="18"/>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93">
        <w:r>
          <w:rPr>
            <w:rFonts w:ascii="Times New Roman" w:cs="Times New Roman" w:eastAsia="Times New Roman" w:hAnsi="Times New Roman"/>
            <w:sz w:val="18"/>
            <w:szCs w:val="18"/>
            <w:u w:val="single" w:color="auto"/>
            <w:color w:val="0000FF"/>
          </w:rPr>
          <w:t>Indenture, dated as of March 15, 2000, by and between the Company and The Bank of New York Mellon Trust Company, N.A. as successor</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Trustee to the Bank of Nova Scotia Trust Company of New York. (Incorporated by reference to Exhibit 4(b)(i) to the Company's Annual</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Report on Form 10-K for the fiscal year ended December 26, 1999, File No. 1-6682.)</w:t>
        </w:r>
      </w:hyperlink>
    </w:p>
    <w:p>
      <w:pPr>
        <w:spacing w:after="0" w:line="63" w:lineRule="exact"/>
        <w:rPr>
          <w:rFonts w:ascii="Times New Roman" w:cs="Times New Roman" w:eastAsia="Times New Roman" w:hAnsi="Times New Roman"/>
          <w:sz w:val="18"/>
          <w:szCs w:val="18"/>
          <w:color w:val="auto"/>
        </w:rPr>
      </w:pPr>
    </w:p>
    <w:p>
      <w:pPr>
        <w:ind w:left="980" w:right="18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94">
        <w:r>
          <w:rPr>
            <w:rFonts w:ascii="Times New Roman" w:cs="Times New Roman" w:eastAsia="Times New Roman" w:hAnsi="Times New Roman"/>
            <w:sz w:val="18"/>
            <w:szCs w:val="18"/>
            <w:u w:val="single" w:color="auto"/>
            <w:color w:val="0000FF"/>
          </w:rPr>
          <w:t>First Supplemental Indenture, dated as of September 17, 2007, between the Company and The Bank of New York Mellon Trust Company,</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N.A. as successor Trustee to the Bank of Nova Scotia Trust Company of New York.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Company's Current Report on Form 8-K filed September 17, 2007, File No. 1-6682.)</w:t>
        </w:r>
      </w:hyperlink>
    </w:p>
    <w:p>
      <w:pPr>
        <w:spacing w:after="0" w:line="63" w:lineRule="exact"/>
        <w:rPr>
          <w:rFonts w:ascii="Times New Roman" w:cs="Times New Roman" w:eastAsia="Times New Roman" w:hAnsi="Times New Roman"/>
          <w:sz w:val="18"/>
          <w:szCs w:val="18"/>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4.4 </w:t>
      </w:r>
      <w:hyperlink r:id="rId95">
        <w:r>
          <w:rPr>
            <w:rFonts w:ascii="Times New Roman" w:cs="Times New Roman" w:eastAsia="Times New Roman" w:hAnsi="Times New Roman"/>
            <w:sz w:val="18"/>
            <w:szCs w:val="18"/>
            <w:u w:val="single" w:color="auto"/>
            <w:color w:val="0000FF"/>
          </w:rPr>
          <w:t>Second Supplemental Indenture, dated as of May 13, 2009, between the Company and The Bank of New York Mellon Trust Company, N.A.</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Current Report on Form 8-K filed May 13, 2009, File No. 1-6682.)</w:t>
        </w:r>
      </w:hyperlink>
    </w:p>
    <w:p>
      <w:pPr>
        <w:spacing w:after="0" w:line="63" w:lineRule="exact"/>
        <w:rPr>
          <w:rFonts w:ascii="Times New Roman" w:cs="Times New Roman" w:eastAsia="Times New Roman" w:hAnsi="Times New Roman"/>
          <w:sz w:val="18"/>
          <w:szCs w:val="18"/>
          <w:color w:val="auto"/>
        </w:rPr>
      </w:pPr>
    </w:p>
    <w:p>
      <w:pPr>
        <w:ind w:left="980" w:right="2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4.5 </w:t>
      </w:r>
      <w:hyperlink r:id="rId96">
        <w:r>
          <w:rPr>
            <w:rFonts w:ascii="Times New Roman" w:cs="Times New Roman" w:eastAsia="Times New Roman" w:hAnsi="Times New Roman"/>
            <w:sz w:val="18"/>
            <w:szCs w:val="18"/>
            <w:u w:val="single" w:color="auto"/>
            <w:color w:val="0000FF"/>
          </w:rPr>
          <w:t>Third Supplemental Indenture, dated as of March 11, 2010, between the Company and The Bank of New York Mellon Trust Company, N.A.</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Current Report on Form 8-K filed March 11, 2010, File No. 1-6682.)</w:t>
        </w:r>
      </w:hyperlink>
    </w:p>
    <w:p>
      <w:pPr>
        <w:spacing w:after="0" w:line="63" w:lineRule="exact"/>
        <w:rPr>
          <w:rFonts w:ascii="Times New Roman" w:cs="Times New Roman" w:eastAsia="Times New Roman" w:hAnsi="Times New Roman"/>
          <w:sz w:val="18"/>
          <w:szCs w:val="18"/>
          <w:color w:val="auto"/>
        </w:rPr>
      </w:pPr>
    </w:p>
    <w:p>
      <w:pPr>
        <w:jc w:val="both"/>
        <w:ind w:left="980" w:right="28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4.6 </w:t>
      </w:r>
      <w:hyperlink r:id="rId97">
        <w:r>
          <w:rPr>
            <w:rFonts w:ascii="Times New Roman" w:cs="Times New Roman" w:eastAsia="Times New Roman" w:hAnsi="Times New Roman"/>
            <w:sz w:val="18"/>
            <w:szCs w:val="18"/>
            <w:u w:val="single" w:color="auto"/>
            <w:color w:val="0000FF"/>
          </w:rPr>
          <w:t>Fourth Supplemental Indenture, dated May 13, 2014, between the Company and The Bank of New York Mellon Trust Company, N.A. as</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Current Report on Form 8-K filed May 13, 2014, file No. 1-6682.)</w:t>
        </w:r>
      </w:hyperlink>
    </w:p>
    <w:p>
      <w:pPr>
        <w:spacing w:after="0" w:line="63" w:lineRule="exact"/>
        <w:rPr>
          <w:rFonts w:ascii="Times New Roman" w:cs="Times New Roman" w:eastAsia="Times New Roman" w:hAnsi="Times New Roman"/>
          <w:sz w:val="18"/>
          <w:szCs w:val="18"/>
          <w:color w:val="auto"/>
        </w:rPr>
      </w:pPr>
    </w:p>
    <w:p>
      <w:pPr>
        <w:jc w:val="both"/>
        <w:ind w:left="980" w:right="16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w:t>
      </w:r>
      <w:hyperlink r:id="rId98">
        <w:r>
          <w:rPr>
            <w:rFonts w:ascii="Times New Roman" w:cs="Times New Roman" w:eastAsia="Times New Roman" w:hAnsi="Times New Roman"/>
            <w:sz w:val="18"/>
            <w:szCs w:val="18"/>
            <w:u w:val="single" w:color="auto"/>
            <w:color w:val="0000FF"/>
          </w:rPr>
          <w:t>Fifth Supplemental Indenture, dated September 13, 2017, between the Company and The Bank of New York Mellon Trust Company, N.A.</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Current Report on Form 8-K filed September 13, 2017, file No. 1-6682.)</w:t>
        </w:r>
      </w:hyperlink>
    </w:p>
    <w:p>
      <w:pPr>
        <w:spacing w:after="0" w:line="63" w:lineRule="exact"/>
        <w:rPr>
          <w:rFonts w:ascii="Times New Roman" w:cs="Times New Roman" w:eastAsia="Times New Roman" w:hAnsi="Times New Roman"/>
          <w:sz w:val="18"/>
          <w:szCs w:val="18"/>
          <w:color w:val="auto"/>
        </w:rPr>
      </w:pPr>
    </w:p>
    <w:p>
      <w:pPr>
        <w:ind w:left="980" w:right="16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w:t>
      </w:r>
      <w:hyperlink r:id="rId99">
        <w:r>
          <w:rPr>
            <w:rFonts w:ascii="Times New Roman" w:cs="Times New Roman" w:eastAsia="Times New Roman" w:hAnsi="Times New Roman"/>
            <w:sz w:val="18"/>
            <w:szCs w:val="18"/>
            <w:u w:val="single" w:color="auto"/>
            <w:color w:val="0000FF"/>
          </w:rPr>
          <w:t>Sixth Supplemental Indenture dated as of November 19, 2019, among the Company and The Bank of New York Mellon Trust Company,</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N.A. and U.S. Bank, National Association, supplementing the Indenture dated as of March 15, 2000. (Incorporated by reference to Exhibit</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1.2 to the Company’s Current Report on Form 8-K filed November 19, 2019, File No. 1-6682.)</w:t>
        </w:r>
      </w:hyperlink>
    </w:p>
    <w:p>
      <w:pPr>
        <w:spacing w:after="0" w:line="63"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the Chief Executive Officer Pursuant to Rule 13a-14(a) under the Securities Exchange Act of 1934.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52" w:name="page53"/>
    <w:bookmarkEnd w:id="52"/>
    <w:p>
      <w:pPr>
        <w:ind w:left="5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the Chief Financial Officer Pursuant to Rule 13a-14(a) under the Securities Exchange Act of 1934.</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of the Chief Executive Officer Pursuant to Rule 13a-14(b) under the Securities Exchange Act of 1934.</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of the Chief Financial Officer Pursuant to Rule 13a-14(b) under the Securities Exchange Act of 1934.</w:t>
      </w:r>
    </w:p>
    <w:p>
      <w:pPr>
        <w:spacing w:after="0" w:line="77" w:lineRule="exact"/>
        <w:rPr>
          <w:sz w:val="20"/>
          <w:szCs w:val="20"/>
          <w:color w:val="auto"/>
        </w:rPr>
      </w:pPr>
    </w:p>
    <w:p>
      <w:pPr>
        <w:ind w:left="980" w:hanging="640"/>
        <w:spacing w:after="0" w:line="237" w:lineRule="auto"/>
        <w:rPr>
          <w:sz w:val="20"/>
          <w:szCs w:val="20"/>
          <w:color w:val="auto"/>
        </w:rPr>
      </w:pPr>
      <w:r>
        <w:rPr>
          <w:rFonts w:ascii="Times New Roman" w:cs="Times New Roman" w:eastAsia="Times New Roman" w:hAnsi="Times New Roman"/>
          <w:sz w:val="18"/>
          <w:szCs w:val="18"/>
          <w:color w:val="auto"/>
        </w:rPr>
        <w:t>101.INS XBRL Instance Document - the instance document does not appear in the Interactive Data File because its XBRL tags are embedded within the Inline XBRL Document.</w:t>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101.LAB XBRL Taxonomy Extension Labels Linkbase Document</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Furnished herewith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26" w:right="51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color w:val="auto"/>
        </w:rPr>
        <w:t>Date: July 26, 2022</w:t>
      </w:r>
      <w:r>
        <w:rPr>
          <w:sz w:val="20"/>
          <w:szCs w:val="20"/>
          <w:color w:val="auto"/>
        </w:rPr>
        <w:tab/>
      </w:r>
      <w:r>
        <w:rPr>
          <w:rFonts w:ascii="Times New Roman" w:cs="Times New Roman" w:eastAsia="Times New Roman" w:hAnsi="Times New Roman"/>
          <w:sz w:val="17"/>
          <w:szCs w:val="17"/>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Deborah Thomas</w:t>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67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6740"/>
        <w:spacing w:after="0" w:line="219" w:lineRule="auto"/>
        <w:rPr>
          <w:sz w:val="20"/>
          <w:szCs w:val="20"/>
          <w:color w:val="auto"/>
        </w:rPr>
      </w:pPr>
      <w:r>
        <w:rPr>
          <w:rFonts w:ascii="Times New Roman" w:cs="Times New Roman" w:eastAsia="Times New Roman" w:hAnsi="Times New Roman"/>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00"/>
          </w:cols>
          <w:pgMar w:left="320" w:top="945" w:right="3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P. Cocks, certify that:</w:t>
      </w:r>
    </w:p>
    <w:p>
      <w:pPr>
        <w:spacing w:after="0" w:line="185"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00" w:right="140" w:hanging="244"/>
        <w:spacing w:after="0" w:line="266" w:lineRule="auto"/>
        <w:tabs>
          <w:tab w:leader="none" w:pos="8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July 26, 2022</w:t>
      </w:r>
    </w:p>
    <w:p>
      <w:pPr>
        <w:spacing w:after="0" w:line="1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/s/ Christian P. Cocks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Christian P. Cocks</w:t>
      </w:r>
    </w:p>
    <w:p>
      <w:pPr>
        <w:jc w:val="center"/>
        <w:ind w:righ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6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Deborah Thomas, certify that:</w:t>
      </w:r>
    </w:p>
    <w:p>
      <w:pPr>
        <w:spacing w:after="0" w:line="185"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1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0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1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820" w:right="220" w:hanging="326"/>
        <w:spacing w:after="0" w:line="266" w:lineRule="auto"/>
        <w:tabs>
          <w:tab w:leader="none" w:pos="80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0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26, 2022</w:t>
      </w:r>
    </w:p>
    <w:p>
      <w:pPr>
        <w:spacing w:after="0" w:line="18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/s/ Deborah Thomas</w:t>
      </w:r>
    </w:p>
    <w:p>
      <w:pPr>
        <w:spacing w:after="0" w:line="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Deborah Thomas</w:t>
      </w:r>
    </w:p>
    <w:p>
      <w:pPr>
        <w:ind w:left="612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6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9" w:lineRule="exact"/>
        <w:rPr>
          <w:sz w:val="20"/>
          <w:szCs w:val="20"/>
          <w:color w:val="auto"/>
        </w:rPr>
      </w:pPr>
    </w:p>
    <w:p>
      <w:pPr>
        <w:ind w:left="420" w:right="120" w:hanging="412"/>
        <w:spacing w:after="0" w:line="282" w:lineRule="auto"/>
        <w:tabs>
          <w:tab w:leader="none" w:pos="4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26, 2022,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auto"/>
        </w:rPr>
        <w:t>/s/ Christian P. Cocks</w:t>
      </w:r>
    </w:p>
    <w:p>
      <w:pPr>
        <w:ind w:left="2360"/>
        <w:spacing w:after="0" w:line="203" w:lineRule="auto"/>
        <w:rPr>
          <w:sz w:val="20"/>
          <w:szCs w:val="20"/>
          <w:color w:val="auto"/>
        </w:rPr>
      </w:pPr>
      <w:r>
        <w:rPr>
          <w:rFonts w:ascii="Times New Roman" w:cs="Times New Roman" w:eastAsia="Times New Roman" w:hAnsi="Times New Roman"/>
          <w:sz w:val="18"/>
          <w:szCs w:val="18"/>
          <w:color w:val="auto"/>
        </w:rPr>
        <w:t>Christian P. Cocks</w:t>
      </w:r>
    </w:p>
    <w:p>
      <w:pPr>
        <w:ind w:left="2360"/>
        <w:spacing w:after="0"/>
        <w:rPr>
          <w:sz w:val="20"/>
          <w:szCs w:val="20"/>
          <w:color w:val="auto"/>
        </w:rPr>
      </w:pPr>
      <w:r>
        <w:rPr>
          <w:rFonts w:ascii="Times New Roman" w:cs="Times New Roman" w:eastAsia="Times New Roman" w:hAnsi="Times New Roman"/>
          <w:sz w:val="18"/>
          <w:szCs w:val="18"/>
          <w:color w:val="auto"/>
        </w:rPr>
        <w:t>Chief Executive Officer of Hasbro, Inc.</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26, 2022</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49" w:lineRule="exact"/>
        <w:rPr>
          <w:sz w:val="20"/>
          <w:szCs w:val="20"/>
          <w:color w:val="auto"/>
        </w:rPr>
      </w:pPr>
    </w:p>
    <w:p>
      <w:pPr>
        <w:ind w:left="420" w:right="120" w:hanging="412"/>
        <w:spacing w:after="0" w:line="282" w:lineRule="auto"/>
        <w:tabs>
          <w:tab w:leader="none" w:pos="4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26, 2022,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u w:val="single" w:color="auto"/>
          <w:color w:val="auto"/>
        </w:rPr>
        <w:t>/s/ Deborah Thomas</w:t>
      </w:r>
    </w:p>
    <w:p>
      <w:pPr>
        <w:ind w:left="3100"/>
        <w:spacing w:after="0" w:line="203" w:lineRule="auto"/>
        <w:rPr>
          <w:sz w:val="20"/>
          <w:szCs w:val="20"/>
          <w:color w:val="auto"/>
        </w:rPr>
      </w:pPr>
      <w:r>
        <w:rPr>
          <w:rFonts w:ascii="Times New Roman" w:cs="Times New Roman" w:eastAsia="Times New Roman" w:hAnsi="Times New Roman"/>
          <w:sz w:val="18"/>
          <w:szCs w:val="18"/>
          <w:color w:val="auto"/>
        </w:rPr>
        <w:t>Deborah Thomas</w:t>
      </w:r>
    </w:p>
    <w:p>
      <w:pPr>
        <w:jc w:val="center"/>
        <w:ind w:righ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Hasbro, Inc.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26, 2022</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4"/>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amp;"/>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9"/>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0"/>
    </w:lvl>
  </w:abstractNum>
  <w:abstractNum w:abstractNumId="18">
    <w:nsid w:val="71F32454"/>
    <w:multiLevelType w:val="hybridMultilevel"/>
    <w:lvl w:ilvl="0">
      <w:lvlJc w:val="left"/>
      <w:lvlText w:val="(%1)"/>
      <w:numFmt w:val="decimal"/>
      <w:start w:val="11"/>
    </w:lvl>
  </w:abstractNum>
  <w:abstractNum w:abstractNumId="19">
    <w:nsid w:val="2CA88611"/>
    <w:multiLevelType w:val="hybridMultilevel"/>
    <w:lvl w:ilvl="0">
      <w:lvlJc w:val="left"/>
      <w:lvlText w:val="(%1)"/>
      <w:numFmt w:val="decimal"/>
      <w:start w:val="12"/>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3"/>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4"/>
    </w:lvl>
  </w:abstractNum>
  <w:abstractNum w:abstractNumId="25">
    <w:nsid w:val="7C3DBD3D"/>
    <w:multiLevelType w:val="hybridMultilevel"/>
    <w:lvl w:ilvl="0">
      <w:lvlJc w:val="left"/>
      <w:lvlText w:val="•"/>
      <w:numFmt w:val="bullet"/>
      <w:start w:val="1"/>
    </w:lvl>
    <w:lvl w:ilvl="1">
      <w:lvlJc w:val="left"/>
      <w:lvlText w:val="•"/>
      <w:numFmt w:val="bullet"/>
      <w:start w:val="1"/>
    </w:lvl>
  </w:abstractNum>
  <w:abstractNum w:abstractNumId="26">
    <w:nsid w:val="737B8DDC"/>
    <w:multiLevelType w:val="hybridMultilevel"/>
    <w:lvl w:ilvl="0">
      <w:lvlJc w:val="left"/>
      <w:lvlText w:val="•"/>
      <w:numFmt w:val="bullet"/>
      <w:start w:val="1"/>
    </w:lvl>
    <w:lvl w:ilvl="1">
      <w:lvlJc w:val="left"/>
      <w:lvlText w:val="•"/>
      <w:numFmt w:val="bullet"/>
      <w:start w:val="1"/>
    </w:lvl>
  </w:abstractNum>
  <w:abstractNum w:abstractNumId="27">
    <w:nsid w:val="6CEAF087"/>
    <w:multiLevelType w:val="hybridMultilevel"/>
    <w:lvl w:ilvl="0">
      <w:lvlJc w:val="left"/>
      <w:lvlText w:val="•"/>
      <w:numFmt w:val="bullet"/>
      <w:start w:val="1"/>
    </w:lvl>
    <w:lvl w:ilvl="1">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83" Type="http://schemas.openxmlformats.org/officeDocument/2006/relationships/hyperlink" Target="http://www.sec.gov/Archives/edgar/data/46080/000004608000000013/0000046080-00-000013-0002.txt" TargetMode="External"/><Relationship Id="rId84" Type="http://schemas.openxmlformats.org/officeDocument/2006/relationships/hyperlink" Target="http://www.sec.gov/Archives/edgar/data/46080/000004608000000013/0000046080-00-000013-0005.txt" TargetMode="External"/><Relationship Id="rId85" Type="http://schemas.openxmlformats.org/officeDocument/2006/relationships/hyperlink" Target="http://www.sec.gov/Archives/edgar/data/46080/000004608003000022/ex3-3q203.htm" TargetMode="External"/><Relationship Id="rId86" Type="http://schemas.openxmlformats.org/officeDocument/2006/relationships/hyperlink" Target="http://www.sec.gov/Archives/edgar/data/46080/000095013507001259/b63637hoexv3wxdy.txt" TargetMode="External"/><Relationship Id="rId87" Type="http://schemas.openxmlformats.org/officeDocument/2006/relationships/hyperlink" Target="http://www.sec.gov/Archives/edgar/data/46080/000004608014000081/exhibit31.htm" TargetMode="External"/><Relationship Id="rId88" Type="http://schemas.openxmlformats.org/officeDocument/2006/relationships/hyperlink" Target="http://www.sec.gov/Archives/edgar/data/46080/000004608015000093/exhibit31.htm" TargetMode="External"/><Relationship Id="rId89" Type="http://schemas.openxmlformats.org/officeDocument/2006/relationships/hyperlink" Target="http://www.sec.gov/Archives/edgar/data/46080/000004608015000101/exhibit31.htm" TargetMode="External"/><Relationship Id="rId90" Type="http://schemas.openxmlformats.org/officeDocument/2006/relationships/hyperlink" Target="http://www.sec.gov/Archives/edgar/data/46080/000004608000000013/0000046080-00-000013-0003.txt" TargetMode="External"/><Relationship Id="rId91" Type="http://schemas.openxmlformats.org/officeDocument/2006/relationships/hyperlink" Target="http://www.sec.gov/Archives/edgar/data/46080/000004608000000013/0000046080-00-000013-0004.txt" TargetMode="External"/><Relationship Id="rId92" Type="http://schemas.openxmlformats.org/officeDocument/2006/relationships/hyperlink" Target="http://www.sec.gov/Archives/edgar/data/46080/0000950172-98-000702.txt" TargetMode="External"/><Relationship Id="rId93" Type="http://schemas.openxmlformats.org/officeDocument/2006/relationships/hyperlink" Target="http://www.sec.gov/Archives/edgar/data/46080/000004608000000003/0000046080-00-000003.txt" TargetMode="External"/><Relationship Id="rId94" Type="http://schemas.openxmlformats.org/officeDocument/2006/relationships/hyperlink" Target="http://www.sec.gov/Archives/edgar/data/46080/000095013507005709/b66906hbexv4w1.htm" TargetMode="External"/><Relationship Id="rId95" Type="http://schemas.openxmlformats.org/officeDocument/2006/relationships/hyperlink" Target="http://www.sec.gov/Archives/edgar/data/46080/000095013509003948/b75462hiexv4w1.htm" TargetMode="External"/><Relationship Id="rId96" Type="http://schemas.openxmlformats.org/officeDocument/2006/relationships/hyperlink" Target="http://www.sec.gov/Archives/edgar/data/46080/000095012310023420/b80058exv4w1.htm" TargetMode="External"/><Relationship Id="rId97" Type="http://schemas.openxmlformats.org/officeDocument/2006/relationships/hyperlink" Target="http://www.sec.gov/Archives/edgar/data/46080/000119312514196726/d727293dex41.htm" TargetMode="External"/><Relationship Id="rId98" Type="http://schemas.openxmlformats.org/officeDocument/2006/relationships/hyperlink" Target="http://www.sec.gov/Archives/edgar/data/46080/000119312517283854/d456734dex41.htm" TargetMode="External"/><Relationship Id="rId99" Type="http://schemas.openxmlformats.org/officeDocument/2006/relationships/hyperlink" Target="http://www.sec.gov/Archives/edgar/data/46080/000119312519295544/d822953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2022-07-26T13:46:18Z</dcterms:created>
  <dcterms:modified xsi:type="dcterms:W3CDTF">2022-07-26T13:46:18Z</dcterms:modified>
</cp:coreProperties>
</file>