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0001879287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HASBRO,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001-06682</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1027 NEWPORT AVENUE</w:t>
              <w:br/>
              <w:t>P O BOX 1059</w:t>
              <w:br/>
              <w:t>PAWTUCKET</w:t>
              <w:br/>
              <w:t xml:space="preserve">RHODE ISLAND </w:t>
              <w:br/>
              <w:t>02861</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4014318697</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Hamren Elizabeth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50"/>
        <w:gridCol w:w="1937"/>
        <w:gridCol w:w="1113"/>
        <w:gridCol w:w="1317"/>
        <w:gridCol w:w="1502"/>
        <w:gridCol w:w="1537"/>
        <w:gridCol w:w="1349"/>
      </w:tblGrid>
      <w:tr>
        <w:trPr/>
        <w:tc>
          <w:tcPr>
            <w:tcW w:w="1450" w:type="dxa"/>
            <w:tcBorders/>
            <w:vAlign w:val="center"/>
          </w:tcPr>
          <w:p>
            <w:pPr>
              <w:pStyle w:val="TableHeading"/>
              <w:suppressLineNumbers/>
              <w:bidi w:val="0"/>
              <w:spacing w:before="0" w:after="283"/>
              <w:jc w:val="center"/>
              <w:rPr/>
            </w:pPr>
            <w:r>
              <w:rPr/>
              <w:t>Title of the Class of Securities To Be Sold</w:t>
            </w:r>
          </w:p>
        </w:tc>
        <w:tc>
          <w:tcPr>
            <w:tcW w:w="1937" w:type="dxa"/>
            <w:tcBorders/>
            <w:vAlign w:val="center"/>
          </w:tcPr>
          <w:p>
            <w:pPr>
              <w:pStyle w:val="TableHeading"/>
              <w:suppressLineNumbers/>
              <w:bidi w:val="0"/>
              <w:spacing w:before="0" w:after="283"/>
              <w:jc w:val="center"/>
              <w:rPr/>
            </w:pPr>
            <w:r>
              <w:rPr/>
              <w:t>Name and Address of the Broker</w:t>
            </w:r>
          </w:p>
        </w:tc>
        <w:tc>
          <w:tcPr>
            <w:tcW w:w="1113" w:type="dxa"/>
            <w:tcBorders/>
            <w:vAlign w:val="center"/>
          </w:tcPr>
          <w:p>
            <w:pPr>
              <w:pStyle w:val="TableHeading"/>
              <w:suppressLineNumbers/>
              <w:bidi w:val="0"/>
              <w:spacing w:before="0" w:after="283"/>
              <w:jc w:val="center"/>
              <w:rPr/>
            </w:pPr>
            <w:r>
              <w:rPr/>
              <w:t>Number of Shares or Other Units To Be Sold</w:t>
            </w:r>
          </w:p>
        </w:tc>
        <w:tc>
          <w:tcPr>
            <w:tcW w:w="1317" w:type="dxa"/>
            <w:tcBorders/>
            <w:vAlign w:val="center"/>
          </w:tcPr>
          <w:p>
            <w:pPr>
              <w:pStyle w:val="TableHeading"/>
              <w:suppressLineNumbers/>
              <w:bidi w:val="0"/>
              <w:spacing w:before="0" w:after="283"/>
              <w:jc w:val="center"/>
              <w:rPr/>
            </w:pPr>
            <w:r>
              <w:rPr/>
              <w:t>Aggregate Market Value</w:t>
            </w:r>
          </w:p>
        </w:tc>
        <w:tc>
          <w:tcPr>
            <w:tcW w:w="1502" w:type="dxa"/>
            <w:tcBorders/>
            <w:vAlign w:val="center"/>
          </w:tcPr>
          <w:p>
            <w:pPr>
              <w:pStyle w:val="TableHeading"/>
              <w:suppressLineNumbers/>
              <w:bidi w:val="0"/>
              <w:spacing w:before="0" w:after="283"/>
              <w:jc w:val="center"/>
              <w:rPr/>
            </w:pPr>
            <w:r>
              <w:rPr/>
              <w:t>Number of Shares or Other Units Outstanding</w:t>
            </w:r>
          </w:p>
        </w:tc>
        <w:tc>
          <w:tcPr>
            <w:tcW w:w="1537" w:type="dxa"/>
            <w:tcBorders/>
            <w:vAlign w:val="center"/>
          </w:tcPr>
          <w:p>
            <w:pPr>
              <w:pStyle w:val="TableHeading"/>
              <w:suppressLineNumbers/>
              <w:bidi w:val="0"/>
              <w:spacing w:before="0" w:after="283"/>
              <w:jc w:val="center"/>
              <w:rPr/>
            </w:pPr>
            <w:r>
              <w:rPr/>
              <w:t>Approximate Date of Sale</w:t>
            </w:r>
          </w:p>
        </w:tc>
        <w:tc>
          <w:tcPr>
            <w:tcW w:w="1349" w:type="dxa"/>
            <w:tcBorders/>
            <w:vAlign w:val="center"/>
          </w:tcPr>
          <w:p>
            <w:pPr>
              <w:pStyle w:val="TableHeading"/>
              <w:suppressLineNumbers/>
              <w:bidi w:val="0"/>
              <w:spacing w:before="0" w:after="283"/>
              <w:jc w:val="center"/>
              <w:rPr/>
            </w:pPr>
            <w:r>
              <w:rPr/>
              <w:t>Name the Securities Exchange</w:t>
            </w:r>
          </w:p>
        </w:tc>
      </w:tr>
      <w:tr>
        <w:trPr/>
        <w:tc>
          <w:tcPr>
            <w:tcW w:w="1450" w:type="dxa"/>
            <w:tcBorders/>
            <w:vAlign w:val="center"/>
          </w:tcPr>
          <w:p>
            <w:pPr>
              <w:pStyle w:val="TableContents"/>
              <w:bidi w:val="0"/>
              <w:spacing w:before="0" w:after="283"/>
              <w:jc w:val="left"/>
              <w:rPr/>
            </w:pPr>
            <w:r>
              <w:rPr/>
              <w:t>Common</w:t>
            </w:r>
          </w:p>
        </w:tc>
        <w:tc>
          <w:tcPr>
            <w:tcW w:w="1937" w:type="dxa"/>
            <w:tcBorders/>
            <w:vAlign w:val="center"/>
          </w:tcPr>
          <w:p>
            <w:pPr>
              <w:pStyle w:val="TableContents"/>
              <w:bidi w:val="0"/>
              <w:spacing w:before="0" w:after="0"/>
              <w:jc w:val="left"/>
              <w:rPr/>
            </w:pPr>
            <w:r>
              <w:rPr/>
              <w:t>FIDELITY BROKERAGE SERVICES LLC</w:t>
              <w:br/>
              <w:t>245 Summer Street</w:t>
              <w:br/>
              <w:t>BOSTON   MA   02110</w:t>
            </w:r>
          </w:p>
        </w:tc>
        <w:tc>
          <w:tcPr>
            <w:tcW w:w="1113" w:type="dxa"/>
            <w:tcBorders/>
            <w:vAlign w:val="center"/>
          </w:tcPr>
          <w:p>
            <w:pPr>
              <w:pStyle w:val="TableContents"/>
              <w:bidi w:val="0"/>
              <w:spacing w:before="0" w:after="283"/>
              <w:jc w:val="left"/>
              <w:rPr/>
            </w:pPr>
            <w:r>
              <w:rPr/>
              <w:t>2964</w:t>
            </w:r>
          </w:p>
        </w:tc>
        <w:tc>
          <w:tcPr>
            <w:tcW w:w="1317" w:type="dxa"/>
            <w:tcBorders/>
            <w:vAlign w:val="center"/>
          </w:tcPr>
          <w:p>
            <w:pPr>
              <w:pStyle w:val="TableContents"/>
              <w:bidi w:val="0"/>
              <w:spacing w:before="0" w:after="283"/>
              <w:jc w:val="left"/>
              <w:rPr/>
            </w:pPr>
            <w:r>
              <w:rPr/>
              <w:t>284962.20</w:t>
            </w:r>
          </w:p>
        </w:tc>
        <w:tc>
          <w:tcPr>
            <w:tcW w:w="1502" w:type="dxa"/>
            <w:tcBorders/>
            <w:vAlign w:val="center"/>
          </w:tcPr>
          <w:p>
            <w:pPr>
              <w:pStyle w:val="TableContents"/>
              <w:bidi w:val="0"/>
              <w:spacing w:before="0" w:after="283"/>
              <w:jc w:val="left"/>
              <w:rPr/>
            </w:pPr>
            <w:r>
              <w:rPr/>
              <w:t>141490692</w:t>
            </w:r>
          </w:p>
        </w:tc>
        <w:tc>
          <w:tcPr>
            <w:tcW w:w="1537" w:type="dxa"/>
            <w:tcBorders/>
            <w:vAlign w:val="center"/>
          </w:tcPr>
          <w:p>
            <w:pPr>
              <w:pStyle w:val="TableContents"/>
              <w:bidi w:val="0"/>
              <w:spacing w:before="0" w:after="283"/>
              <w:jc w:val="left"/>
              <w:rPr/>
            </w:pPr>
            <w:r>
              <w:rPr/>
              <w:t>07/31/2026</w:t>
            </w:r>
          </w:p>
        </w:tc>
        <w:tc>
          <w:tcPr>
            <w:tcW w:w="134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07/01/2022</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1975</w:t>
            </w:r>
          </w:p>
        </w:tc>
        <w:tc>
          <w:tcPr>
            <w:tcW w:w="1046" w:type="dxa"/>
            <w:tcBorders/>
            <w:vAlign w:val="center"/>
          </w:tcPr>
          <w:p>
            <w:pPr>
              <w:pStyle w:val="TableContents"/>
              <w:bidi w:val="0"/>
              <w:spacing w:before="0" w:after="283"/>
              <w:jc w:val="left"/>
              <w:rPr/>
            </w:pPr>
            <w:r>
              <w:rPr/>
              <w:t>07/01/2022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07/12/2022</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289</w:t>
            </w:r>
          </w:p>
        </w:tc>
        <w:tc>
          <w:tcPr>
            <w:tcW w:w="1046" w:type="dxa"/>
            <w:tcBorders/>
            <w:vAlign w:val="center"/>
          </w:tcPr>
          <w:p>
            <w:pPr>
              <w:pStyle w:val="TableContents"/>
              <w:bidi w:val="0"/>
              <w:spacing w:before="0" w:after="283"/>
              <w:jc w:val="left"/>
              <w:rPr/>
            </w:pPr>
            <w:r>
              <w:rPr/>
              <w:t>07/12/2022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05/09/2025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700</w:t>
            </w:r>
          </w:p>
        </w:tc>
        <w:tc>
          <w:tcPr>
            <w:tcW w:w="1046" w:type="dxa"/>
            <w:tcBorders/>
            <w:vAlign w:val="center"/>
          </w:tcPr>
          <w:p>
            <w:pPr>
              <w:pStyle w:val="TableContents"/>
              <w:bidi w:val="0"/>
              <w:spacing w:before="0" w:after="283"/>
              <w:jc w:val="left"/>
              <w:rPr/>
            </w:pPr>
            <w:r>
              <w:rPr/>
              <w:t>05/09/2025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Jordyn Davis as a duly authorized representative of Fidelity Brokerage Services LLC, as attorney-in-fact for Hamren Elizabeth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3085</Characters>
  <CharactersWithSpaces>3619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