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360" w:right="1460" w:hanging="4136"/>
        <w:spacing w:after="0" w:line="383" w:lineRule="auto"/>
        <w:tabs>
          <w:tab w:leader="none" w:pos="6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1-6682</w:t>
      </w:r>
    </w:p>
    <w:p>
      <w:pPr>
        <w:ind w:left="4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HASBRO,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05-0155090</w:t>
            </w:r>
          </w:p>
        </w:tc>
      </w:tr>
      <w:tr>
        <w:trPr>
          <w:trHeight w:val="257"/>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1"/>
        </w:trPr>
        <w:tc>
          <w:tcPr>
            <w:tcW w:w="5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620" w:type="dxa"/>
            <w:vAlign w:val="bottom"/>
          </w:tcPr>
          <w:p>
            <w:pPr>
              <w:spacing w:after="0"/>
              <w:rPr>
                <w:sz w:val="24"/>
                <w:szCs w:val="24"/>
                <w:color w:val="auto"/>
              </w:rPr>
            </w:pPr>
          </w:p>
        </w:tc>
      </w:tr>
      <w:tr>
        <w:trPr>
          <w:trHeight w:val="257"/>
        </w:trPr>
        <w:tc>
          <w:tcPr>
            <w:tcW w:w="53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6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r>
      <w:tr>
        <w:trPr>
          <w:trHeight w:val="256"/>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 431-8697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HAS</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387" w:lineRule="exact"/>
        <w:rPr>
          <w:sz w:val="24"/>
          <w:szCs w:val="24"/>
          <w:color w:val="auto"/>
        </w:rPr>
      </w:pPr>
    </w:p>
    <w:p>
      <w:pPr>
        <w:jc w:val="both"/>
        <w:ind w:right="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7" w:lineRule="exact"/>
        <w:rPr>
          <w:sz w:val="24"/>
          <w:szCs w:val="24"/>
          <w:color w:val="auto"/>
        </w:rPr>
      </w:pPr>
    </w:p>
    <w:p>
      <w:pPr>
        <w:ind w:right="300" w:firstLine="56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27" w:lineRule="exact"/>
        <w:rPr>
          <w:sz w:val="24"/>
          <w:szCs w:val="24"/>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320"/>
              <w:spacing w:after="0"/>
              <w:rPr>
                <w:sz w:val="20"/>
                <w:szCs w:val="20"/>
                <w:color w:val="auto"/>
              </w:rPr>
            </w:pPr>
            <w:r>
              <w:rPr>
                <w:rFonts w:ascii="Wingdings" w:cs="Wingdings" w:eastAsia="Wingdings" w:hAnsi="Wingdings"/>
                <w:sz w:val="18"/>
                <w:szCs w:val="18"/>
                <w:b w:val="1"/>
                <w:bCs w:val="1"/>
                <w:color w:val="auto"/>
              </w:rPr>
              <w:t>x</w:t>
            </w: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4" w:lineRule="exact"/>
        <w:rPr>
          <w:sz w:val="24"/>
          <w:szCs w:val="24"/>
          <w:color w:val="auto"/>
        </w:rPr>
      </w:pPr>
    </w:p>
    <w:p>
      <w:pPr>
        <w:ind w:left="5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22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par value $.50 per share, outstanding as of July 26, 2024 was 139,407,124.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12529"/>
        </w:rPr>
        <w:t>Hasbro,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 the Quarter Ended June 30,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80" w:type="dxa"/>
            <w:vAlign w:val="bottom"/>
            <w:shd w:val="clear" w:color="auto" w:fill="CCEEFF"/>
          </w:tcPr>
          <w:p>
            <w:pPr>
              <w:spacing w:after="0"/>
              <w:rPr>
                <w:sz w:val="17"/>
                <w:szCs w:val="17"/>
                <w:color w:val="auto"/>
              </w:rPr>
            </w:pPr>
          </w:p>
        </w:tc>
        <w:tc>
          <w:tcPr>
            <w:tcW w:w="15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4860" w:type="dxa"/>
            <w:vAlign w:val="bottom"/>
            <w:gridSpan w:val="10"/>
            <w:shd w:val="clear" w:color="auto" w:fill="CCEEFF"/>
          </w:tcPr>
          <w:p>
            <w:pPr>
              <w:spacing w:after="0"/>
              <w:rPr>
                <w:sz w:val="17"/>
                <w:szCs w:val="17"/>
                <w:color w:val="auto"/>
              </w:rPr>
            </w:pPr>
          </w:p>
        </w:tc>
        <w:tc>
          <w:tcPr>
            <w:tcW w:w="2900" w:type="dxa"/>
            <w:vAlign w:val="bottom"/>
            <w:tcBorders>
              <w:right w:val="single" w:sz="8" w:color="CCEEFF"/>
            </w:tcBorders>
            <w:gridSpan w:val="3"/>
            <w:shd w:val="clear" w:color="auto" w:fill="CCEEFF"/>
          </w:tcPr>
          <w:p>
            <w:pPr>
              <w:ind w:left="2720"/>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80" w:type="dxa"/>
            <w:vAlign w:val="bottom"/>
          </w:tcPr>
          <w:p>
            <w:pPr>
              <w:spacing w:after="0"/>
              <w:rPr>
                <w:sz w:val="16"/>
                <w:szCs w:val="16"/>
                <w:color w:val="auto"/>
              </w:rPr>
            </w:pPr>
          </w:p>
        </w:tc>
        <w:tc>
          <w:tcPr>
            <w:tcW w:w="15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4860" w:type="dxa"/>
            <w:vAlign w:val="bottom"/>
            <w:gridSpan w:val="10"/>
          </w:tcPr>
          <w:p>
            <w:pPr>
              <w:spacing w:after="0"/>
              <w:rPr>
                <w:sz w:val="16"/>
                <w:szCs w:val="16"/>
                <w:color w:val="auto"/>
              </w:rPr>
            </w:pPr>
          </w:p>
        </w:tc>
        <w:tc>
          <w:tcPr>
            <w:tcW w:w="2900" w:type="dxa"/>
            <w:vAlign w:val="bottom"/>
            <w:gridSpan w:val="3"/>
          </w:tcPr>
          <w:p>
            <w:pPr>
              <w:ind w:left="27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900" w:type="dxa"/>
            <w:vAlign w:val="bottom"/>
            <w:tcBorders>
              <w:right w:val="single" w:sz="8" w:color="CCEEFF"/>
            </w:tcBorders>
            <w:gridSpan w:val="3"/>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40" w:type="dxa"/>
            <w:vAlign w:val="bottom"/>
            <w:gridSpan w:val="17"/>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900" w:type="dxa"/>
            <w:vAlign w:val="bottom"/>
            <w:gridSpan w:val="3"/>
          </w:tcPr>
          <w:p>
            <w:pPr>
              <w:ind w:left="27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Earnings (Loss)</w:t>
            </w:r>
          </w:p>
        </w:tc>
        <w:tc>
          <w:tcPr>
            <w:tcW w:w="2900" w:type="dxa"/>
            <w:vAlign w:val="bottom"/>
            <w:tcBorders>
              <w:right w:val="single" w:sz="8" w:color="CCEEFF"/>
            </w:tcBorders>
            <w:gridSpan w:val="3"/>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40" w:type="dxa"/>
            <w:vAlign w:val="bottom"/>
            <w:gridSpan w:val="17"/>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900" w:type="dxa"/>
            <w:vAlign w:val="bottom"/>
            <w:gridSpan w:val="3"/>
          </w:tcPr>
          <w:p>
            <w:pPr>
              <w:ind w:left="27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2900" w:type="dxa"/>
            <w:vAlign w:val="bottom"/>
            <w:tcBorders>
              <w:right w:val="single" w:sz="8" w:color="CCEEFF"/>
            </w:tcBorders>
            <w:gridSpan w:val="3"/>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4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0000FF"/>
              </w:rPr>
              <w:t>Condensed Notes to Consolidated Financial Statements</w:t>
            </w:r>
          </w:p>
        </w:tc>
        <w:tc>
          <w:tcPr>
            <w:tcW w:w="290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0000FF"/>
                <w:w w:val="77"/>
              </w:rPr>
              <w:t>11</w:t>
            </w:r>
          </w:p>
        </w:tc>
        <w:tc>
          <w:tcPr>
            <w:tcW w:w="46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24"/>
                <w:szCs w:val="24"/>
                <w:color w:val="auto"/>
              </w:rPr>
            </w:pP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60" w:type="dxa"/>
            <w:vAlign w:val="bottom"/>
            <w:gridSpan w:val="4"/>
          </w:tcPr>
          <w:p>
            <w:pPr>
              <w:ind w:left="27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28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17"/>
                <w:szCs w:val="17"/>
                <w:color w:val="auto"/>
              </w:rPr>
            </w:pPr>
          </w:p>
        </w:tc>
        <w:tc>
          <w:tcPr>
            <w:tcW w:w="3360" w:type="dxa"/>
            <w:vAlign w:val="bottom"/>
            <w:gridSpan w:val="4"/>
            <w:shd w:val="clear" w:color="auto" w:fill="CCEEFF"/>
          </w:tcPr>
          <w:p>
            <w:pPr>
              <w:ind w:left="2720"/>
              <w:spacing w:after="0" w:line="203" w:lineRule="exact"/>
              <w:rPr>
                <w:sz w:val="20"/>
                <w:szCs w:val="20"/>
                <w:color w:val="auto"/>
              </w:rPr>
            </w:pPr>
            <w:r>
              <w:rPr>
                <w:rFonts w:ascii="Times New Roman" w:cs="Times New Roman" w:eastAsia="Times New Roman" w:hAnsi="Times New Roman"/>
                <w:sz w:val="18"/>
                <w:szCs w:val="18"/>
                <w:color w:val="0000FF"/>
              </w:rPr>
              <w:t>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80" w:type="dxa"/>
            <w:vAlign w:val="bottom"/>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660" w:type="dxa"/>
            <w:vAlign w:val="bottom"/>
            <w:gridSpan w:val="9"/>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8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100" w:type="dxa"/>
            <w:vAlign w:val="bottom"/>
            <w:gridSpan w:val="12"/>
            <w:shd w:val="clear" w:color="auto" w:fill="CCEEFF"/>
          </w:tcPr>
          <w:p>
            <w:pPr>
              <w:spacing w:after="0"/>
              <w:rPr>
                <w:sz w:val="16"/>
                <w:szCs w:val="16"/>
                <w:color w:val="auto"/>
              </w:rPr>
            </w:pP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28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100" w:type="dxa"/>
            <w:vAlign w:val="bottom"/>
            <w:gridSpan w:val="12"/>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80" w:type="dxa"/>
            <w:vAlign w:val="bottom"/>
            <w:shd w:val="clear" w:color="auto" w:fill="CCEEFF"/>
          </w:tcPr>
          <w:p>
            <w:pPr>
              <w:spacing w:after="0"/>
              <w:rPr>
                <w:sz w:val="16"/>
                <w:szCs w:val="16"/>
                <w:color w:val="auto"/>
              </w:rPr>
            </w:pPr>
          </w:p>
        </w:tc>
        <w:tc>
          <w:tcPr>
            <w:tcW w:w="43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080" w:type="dxa"/>
            <w:vAlign w:val="bottom"/>
            <w:gridSpan w:val="2"/>
            <w:shd w:val="clear" w:color="auto" w:fill="CCEEFF"/>
          </w:tcPr>
          <w:p>
            <w:pPr>
              <w:spacing w:after="0"/>
              <w:rPr>
                <w:sz w:val="16"/>
                <w:szCs w:val="16"/>
                <w:color w:val="auto"/>
              </w:rPr>
            </w:pP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16"/>
                <w:szCs w:val="16"/>
                <w:color w:val="auto"/>
              </w:rPr>
            </w:pPr>
          </w:p>
        </w:tc>
        <w:tc>
          <w:tcPr>
            <w:tcW w:w="43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gridSpan w:val="2"/>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80" w:type="dxa"/>
            <w:vAlign w:val="bottom"/>
            <w:shd w:val="clear" w:color="auto" w:fill="CCEEFF"/>
          </w:tcPr>
          <w:p>
            <w:pPr>
              <w:spacing w:after="0"/>
              <w:rPr>
                <w:sz w:val="16"/>
                <w:szCs w:val="16"/>
                <w:color w:val="auto"/>
              </w:rPr>
            </w:pPr>
          </w:p>
        </w:tc>
        <w:tc>
          <w:tcPr>
            <w:tcW w:w="1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4660" w:type="dxa"/>
            <w:vAlign w:val="bottom"/>
            <w:gridSpan w:val="9"/>
            <w:shd w:val="clear" w:color="auto" w:fill="CCEEFF"/>
          </w:tcPr>
          <w:p>
            <w:pPr>
              <w:spacing w:after="0"/>
              <w:rPr>
                <w:sz w:val="16"/>
                <w:szCs w:val="16"/>
                <w:color w:val="auto"/>
              </w:rPr>
            </w:pP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280" w:type="dxa"/>
            <w:vAlign w:val="bottom"/>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660" w:type="dxa"/>
            <w:vAlign w:val="bottom"/>
            <w:gridSpan w:val="9"/>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47</w:t>
            </w: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gridSpan w:val="16"/>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Special Note Regarding Forward-Looking Statements</w:t>
      </w:r>
    </w:p>
    <w:p>
      <w:pPr>
        <w:spacing w:after="0" w:line="229"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impact of newly issued accounting pronouncements; and financial targets. Our actual actions or results may differ materially from those expected or anticipated in the forward-looking statements due to both known and unknown risks and uncertainties.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Factors that might cause such a difference include, but are not limited to:</w:t>
      </w:r>
    </w:p>
    <w:p>
      <w:pPr>
        <w:spacing w:after="0" w:line="27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execute on our business strategy and transformation initiatives, and to achieve anticipated cost savings;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compete in the play industry;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transform our business and capabilities to address the changing global consumer landscape;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design, develop, manufacture, and ship products on a timely and profitable basis;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inflation and downturns in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spacing w:after="0" w:line="132"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political, economic and public health conditions or regulatory changes in the markets in which we and our customers, partners, licensees, suppliers and manufacturers operate, such as inflation, rising interest rates, tariffs, higher commodity prices, labor costs or transportation costs, or outbreaks of illness or disease, the occurrence of which could create work slowdowns, delays or shortages in production or shipment of products, increases in costs or delays in revenue;</w:t>
      </w:r>
    </w:p>
    <w:p>
      <w:pPr>
        <w:spacing w:after="0" w:line="127"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third party relationships, including with third party partners, manufacturers, distributors, studios, content producers, licensors, licensees, and outsourcers, which creates reliance on others and loss of control;</w:t>
      </w:r>
    </w:p>
    <w:p>
      <w:pPr>
        <w:spacing w:after="0" w:line="132"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international operations, such as conflict in territories in which we operate, currency conversion, currency fluctuations, the imposition of tariffs, quotas, shipping delays or difficulties, border adjustment taxes or other protectionist measures, and other challenges in the territories in which we operate;</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leadership changes;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and retain talented and diverse employees, particularly following recent workforce reductions;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impairment and/or write-offs of businesses, products and content we acquire and/or produce;</w:t>
      </w:r>
    </w:p>
    <w:p>
      <w:pPr>
        <w:spacing w:after="0" w:line="14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acquisitions, dispositions and other investments we complete may not provide us with the benefits we expect, or the realization of such benefits may be significantly delayed;</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our business due to seasonality;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product recalls or product liability suits and costs associated with product safety regulations;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or tax laws or regulations, or the interpretation and application of such laws and regulations, which may cause us to alter reserves or make other changes which significantly impact our reported financial results;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or arbitration decisions or settlement actions;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bankruptcy or other lack of success of one or more of our significant retailers, licensees and other partners;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as may be detailed in our public announcements and U.S. Securities and Exchange Commission (“SEC”) filings.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For a detailed discussion of these and other risks, uncertainties and factors, see Part I, Item 1A— “Risk Factors” of our Annual Report on Form 10-K for the fiscal year ended December 31, 2023 (the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12529"/>
        </w:rPr>
        <w:t xml:space="preserve"> Annual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4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55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00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 including restricted cash of $0.3 million, $4.9 million and $0.6 million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of $635.5 million, $643.4 million and $618.9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million</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Other intangible assets, net of accumulated amortization of $1,331.7 million, $1,259.3 million and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$1,296.9 million</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0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5,585.3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0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NONCONTROLLING INTERESTS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5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Short-term borrowings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Preference stock of $2.50 par value. Authorized 5,000,000 shares; none issued</w:t>
            </w:r>
          </w:p>
        </w:tc>
        <w:tc>
          <w:tcPr>
            <w:tcW w:w="2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of $0.50 par value. Authorized 600,000,000 shares; issued 220,286,736 shares at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June 30, 2024, July 2, 2023, and December 31, 2023</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80,905,996 shares at June 30, 2024; 81,568,249 shares at July 2, 2023; and</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81,498,181 shares at December 31, 2023</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3"/>
          </w:tcPr>
          <w:p>
            <w:pPr>
              <w:ind w:left="5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liabilities, noncontrolling interests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6,864.1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8,609.7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5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3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5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2,211.0</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r>
      <w:tr>
        <w:trPr>
          <w:trHeight w:val="213"/>
        </w:trPr>
        <w:tc>
          <w:tcPr>
            <w:tcW w:w="5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cost amortization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13"/>
        </w:trPr>
        <w:tc>
          <w:tcPr>
            <w:tcW w:w="5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r>
      <w:tr>
        <w:trPr>
          <w:trHeight w:val="213"/>
        </w:trPr>
        <w:tc>
          <w:tcPr>
            <w:tcW w:w="5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213"/>
        </w:trPr>
        <w:tc>
          <w:tcPr>
            <w:tcW w:w="5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w:t>
            </w:r>
          </w:p>
        </w:tc>
      </w:tr>
      <w:tr>
        <w:trPr>
          <w:trHeight w:val="207"/>
        </w:trPr>
        <w:tc>
          <w:tcPr>
            <w:tcW w:w="56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2,381.7</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r>
      <w:tr>
        <w:trPr>
          <w:trHeight w:val="213"/>
        </w:trPr>
        <w:tc>
          <w:tcPr>
            <w:tcW w:w="5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7"/>
        </w:trPr>
        <w:tc>
          <w:tcPr>
            <w:tcW w:w="56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1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56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3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6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9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9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6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r>
      <w:tr>
        <w:trPr>
          <w:trHeight w:val="19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3"/>
        </w:trPr>
        <w:tc>
          <w:tcPr>
            <w:tcW w:w="6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gains (losses) on cash flow hedging activities, net of tax</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Reclassifications to earnings,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12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Net losses (gains) on cash flow hedging activities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61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Amortization of unrecognized pension and postretirement amounts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earnings, net of tax</w:t>
            </w: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earnings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earnings (loss) attributable to Hasbro, Inc.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8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1"/>
                <w:szCs w:val="11"/>
                <w:color w:val="auto"/>
              </w:rPr>
            </w:pPr>
          </w:p>
        </w:tc>
        <w:tc>
          <w:tcPr>
            <w:tcW w:w="1060" w:type="dxa"/>
            <w:vAlign w:val="bottom"/>
          </w:tcPr>
          <w:p>
            <w:pPr>
              <w:jc w:val="right"/>
              <w:ind w:right="388"/>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r>
      <w:tr>
        <w:trPr>
          <w:trHeight w:val="196"/>
        </w:trPr>
        <w:tc>
          <w:tcPr>
            <w:tcW w:w="8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w:t>
            </w: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(loss) to net cash provided by operating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Depreciation of plant and equipment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54.6</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Loss on disposal of business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Impairment of goodwill</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231.2</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Program cost amortization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256.9</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 non-cash items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operating assets and liabilities net of acquired balances: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Decrease in accounts receivable</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237.5</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Increase in inventories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Increase in prepaid expenses and other current assets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Program spend, net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Decrease in accounts payable and accrued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Change in net deemed repatriation tax</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96"/>
        </w:trPr>
        <w:tc>
          <w:tcPr>
            <w:tcW w:w="8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r>
      <w:tr>
        <w:trPr>
          <w:trHeight w:val="203"/>
        </w:trPr>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w:t>
            </w:r>
          </w:p>
        </w:tc>
      </w:tr>
      <w:tr>
        <w:trPr>
          <w:trHeight w:val="176"/>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9"/>
        </w:trPr>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utilized by investing activities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w:t>
            </w:r>
          </w:p>
        </w:tc>
      </w:tr>
      <w:tr>
        <w:trPr>
          <w:trHeight w:val="18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Proceeds from borrowings with maturity greater than three months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Repayments of borrowings with maturity greater than three months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repayments from other short-term borrowings</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Payments related to tax withholding for share-based compensation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Payment of financing costs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9"/>
        </w:trPr>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(utilized by) financing activities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w:t>
            </w:r>
          </w:p>
        </w:tc>
      </w:tr>
      <w:tr>
        <w:trPr>
          <w:trHeight w:val="20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9"/>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w:t>
            </w: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513.1</w:t>
            </w:r>
          </w:p>
        </w:tc>
      </w:tr>
      <w:tr>
        <w:trPr>
          <w:trHeight w:val="202"/>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216.6</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87.1</w:t>
            </w:r>
          </w:p>
        </w:tc>
      </w:tr>
      <w:tr>
        <w:trPr>
          <w:trHeight w:val="210"/>
        </w:trPr>
        <w:tc>
          <w:tcPr>
            <w:tcW w:w="8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Income taxes, net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84.6</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2,188.4</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46"/>
        </w:trPr>
        <w:tc>
          <w:tcPr>
            <w:tcW w:w="28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39"/>
        </w:trPr>
        <w:tc>
          <w:tcPr>
            <w:tcW w:w="28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8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2,284.7</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1,172.9</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2" w:right="51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25,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2,861.9</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39"/>
        </w:trPr>
        <w:tc>
          <w:tcPr>
            <w:tcW w:w="282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Buyout of redeemable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April 2,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 attributable to Hasbro, Inc.</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0" w:type="dxa"/>
            <w:vAlign w:val="bottom"/>
          </w:tcPr>
          <w:p>
            <w:pPr>
              <w:spacing w:after="0"/>
              <w:rPr>
                <w:sz w:val="1"/>
                <w:szCs w:val="1"/>
                <w:color w:val="auto"/>
              </w:rPr>
            </w:pPr>
          </w:p>
        </w:tc>
      </w:tr>
      <w:tr>
        <w:trPr>
          <w:trHeight w:val="139"/>
        </w:trPr>
        <w:tc>
          <w:tcPr>
            <w:tcW w:w="282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3"/>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July 2,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2,470.2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2" w:right="5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June 30, 2024, July 2, 2023, and December 31, 2023, and the results of its operations and cash flows and shareholders' equity for the periods ended June 30, 2024 and July 2, 2023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three months ended June 30, 2024 and July 2, 2023 were 13-week and 14-week periods, respectively. The six months ended June 30, 2024 and July 2, 2023 were 26-week and 27-week periods, respectively.</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results to be expected for the full year 2024, nor were those of the comparable 2023 periods representative of those actually experienced for the full year 2023.</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31, 2023 in the Company's Annual Report on Form 10-K for the year ended December 31, 2023 ("2023 Form 10-K"), which includes all such information and disclosures and, accordingly, should be read in conjunction with the financial information included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Adjustments</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the Company corrected a prior year error and recorded an $18.1 million benefit related to the reversal of stock compensation expense for the Company's performance stock awards that should have been recorded during fiscal year 2023. The $18.1 million benefit recorded during the three months ended March 31, 2024 is not considered to be material to the full year 2023 or 2024 consolidated financial statements.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months ended June 30, 2024, the Company corrected a prior year error and recorded a $31.1 million expense and associated liability related to historical environmental exposures in accordance with Accounting Standard Codification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The $31.1 million expense was recorded in Selling, distribution and administration on the Consolidated Statements of Operations. Additionally, during the three months ended June 30, 2024, the Company corrected a prior year error and recorded a $26.7 million benefit related to an over-accrual of vendor commitment liabilities. The $26.7 million benefit was recorded in Cost of sales on the Consolidated Statements of Operations. The recording of these two items were not considered to be material, individually or in the aggregate, to the Company's prior year financial statements or the 2024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included in the Company's 2023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there were no recently adopted accounting standards that had a material effect on the Company’s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Accounting Pronouncements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amendments in this update enhance disclosures for significant segment expenses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entities required to report segment information in accordance with ASC 280. The standard did not change the definition of a segment, the method for determining segments or the</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1" w:name="page12"/>
    <w:bookmarkEnd w:id="1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criteria for aggregating operating segments into reportable segments. The amendments are effective for fiscal years beginning after December 15, 2023, and interim periods within fiscal years beginning after December 15, 2024. Retrospective adoption is required for all prior periods presented in the financial statements. We are assessing the impact of this ASU and upon adoption expect that any impact would be limited to additional segment expense disclosures in the footnotes to our consolidated financial statements. We expect to adopt the standard beginning with our 2024 Form 10-K.</w:t>
      </w:r>
    </w:p>
    <w:p>
      <w:pPr>
        <w:spacing w:after="0" w:line="2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in Income Tax Disclosures</w:t>
      </w:r>
      <w:r>
        <w:rPr>
          <w:rFonts w:ascii="Times New Roman" w:cs="Times New Roman" w:eastAsia="Times New Roman" w:hAnsi="Times New Roman"/>
          <w:sz w:val="18"/>
          <w:szCs w:val="18"/>
          <w:color w:val="auto"/>
        </w:rPr>
        <w:t>. 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rules are effective for annual periods beginning after December 15, 2024. We are currently assessing the impact of this ASU on our consolidated financial statements.</w:t>
      </w: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were no other recently issued accounting pronouncements which would have a material effect on the Company’s condensed consolidated financial statements.</w:t>
      </w:r>
    </w:p>
    <w:p>
      <w:pPr>
        <w:spacing w:after="0" w:line="18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The majority of the Company’s revenues are derived from sales of finished products to customers. See note 1 of the Company's 2023 Annual Report for the Company's revenue recognition accounting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Assets and Liabilities</w:t>
      </w:r>
    </w:p>
    <w:p>
      <w:pPr>
        <w:spacing w:after="0" w:line="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These digital gaming revenues are recognized over a period of time, determined based on player usage patterns or the estimated playing life of the user, or when additional downloadable content is made available, or as with subscription services, ratably over the subscription term.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and the long-term portion is recorded within Other long-term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carrying amounts of contract assets and liabilities for the six months ended June 30, 2024 and July 2, 2023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40" w:type="dxa"/>
            <w:vAlign w:val="bottom"/>
            <w:tcBorders>
              <w:bottom w:val="single" w:sz="8" w:color="CCEEFF"/>
            </w:tcBorders>
            <w:gridSpan w:val="2"/>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w:t>
            </w:r>
          </w:p>
        </w:tc>
      </w:tr>
      <w:tr>
        <w:trPr>
          <w:trHeight w:val="21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13"/>
        </w:trPr>
        <w:tc>
          <w:tcPr>
            <w:tcW w:w="20" w:type="dxa"/>
            <w:vAlign w:val="bottom"/>
          </w:tcPr>
          <w:p>
            <w:pPr>
              <w:spacing w:after="0"/>
              <w:rPr>
                <w:sz w:val="18"/>
                <w:szCs w:val="18"/>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Amounts reclassified to accounts receivable</w:t>
            </w: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16"/>
        </w:trPr>
        <w:tc>
          <w:tcPr>
            <w:tcW w:w="2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2"/>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73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213"/>
        </w:trPr>
        <w:tc>
          <w:tcPr>
            <w:tcW w:w="20" w:type="dxa"/>
            <w:vAlign w:val="bottom"/>
          </w:tcPr>
          <w:p>
            <w:pPr>
              <w:spacing w:after="0"/>
              <w:rPr>
                <w:sz w:val="18"/>
                <w:szCs w:val="18"/>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21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in beginning balance reclassified to revenue</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13"/>
        </w:trPr>
        <w:tc>
          <w:tcPr>
            <w:tcW w:w="20" w:type="dxa"/>
            <w:vAlign w:val="bottom"/>
          </w:tcPr>
          <w:p>
            <w:pPr>
              <w:spacing w:after="0"/>
              <w:rPr>
                <w:sz w:val="18"/>
                <w:szCs w:val="18"/>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Current year amounts reclassified to revenue</w:t>
            </w: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16"/>
        </w:trPr>
        <w:tc>
          <w:tcPr>
            <w:tcW w:w="2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Unsatisfied performance obligations</w:t>
      </w:r>
    </w:p>
    <w:p>
      <w:pPr>
        <w:spacing w:after="0" w:line="29"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June 30, 2024, unrecognized revenue attributable to unsatisfied performance obligations expected to be recognized in the future was $2.4 million. Of this amount, we expect to recognize $1.5 million in the remainder of 2024 and $0.9 million in 2025. These amounts include only fixed consideration.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Allowance for Credit Losses</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Company’s balance for accounts receivable on the Consolidated Balance Sheets as of June 30, 2024 and July 2, 2023 are primarily from contracts with customers. A summary of the activity in the allowance for credit losses for the six months ended June 30, 2024 and July 2, 2023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74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Charged to costs and expenses, net</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accounts written off—net of recoveries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impact</w:t>
            </w:r>
          </w:p>
        </w:tc>
        <w:tc>
          <w:tcPr>
            <w:tcW w:w="1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7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revenues from contracts with customers by reportable segment: Consumer Products, Wizards of the Coast and Digital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and Entertainment. The Company further disaggregates revenues within its Consumer Products segment by major geographic region: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Europe, Latin America, and Asia Pacific; within its Wizards of the Coast and Digital Gaming segment by category: Tabletop Gaming and Digital</w:t>
      </w:r>
    </w:p>
    <w:p>
      <w:pPr>
        <w:spacing w:after="0" w:line="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and Licensed Gaming; and within its Entertainment segment by category: Film &amp; TV, Family Brands, and Other. Finally, the Company disaggregates its revenues by brand portfolio into three brand categories: Franchise Brands, Partner Brands and Portfolio Brands. We believe these collectively depict how the nature, amount, timing and uncertainty of revenue and cash flows are affected by economic factors.</w:t>
      </w:r>
    </w:p>
    <w:p>
      <w:pPr>
        <w:spacing w:after="0" w:line="1"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17"/>
          <w:szCs w:val="17"/>
          <w:color w:val="auto"/>
        </w:rPr>
        <w:t>Effective in the first quarter of 2024, subsequent to the sale of the eOne Film and TV business (as defined in Note 3), the Company moved the remaining Non-Hasbro Branded Film &amp; TV brands into Portfolio Brands to align with the Company's Brand Strategy. For comparability, net revenues for the three and six months ended July 2, 2023, have been reclassified to reflect the movement, resulting in a change of $0.8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Consumer Products segment net revenues by major geographic region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86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Pr>
          <w:p>
            <w:pPr>
              <w:spacing w:after="0"/>
              <w:rPr>
                <w:sz w:val="13"/>
                <w:szCs w:val="13"/>
                <w:color w:val="auto"/>
              </w:rPr>
            </w:pPr>
          </w:p>
        </w:tc>
        <w:tc>
          <w:tcPr>
            <w:tcW w:w="122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306.1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524.5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Wizards of the Coast and Digital Gaming segment net revenues by category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800" w:type="dxa"/>
            <w:vAlign w:val="bottom"/>
          </w:tcPr>
          <w:p>
            <w:pPr>
              <w:spacing w:after="0"/>
              <w:rPr>
                <w:sz w:val="13"/>
                <w:szCs w:val="13"/>
                <w:color w:val="auto"/>
              </w:rPr>
            </w:pPr>
          </w:p>
        </w:tc>
        <w:tc>
          <w:tcPr>
            <w:tcW w:w="10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Pr>
          <w:p>
            <w:pPr>
              <w:spacing w:after="0"/>
              <w:rPr>
                <w:sz w:val="13"/>
                <w:szCs w:val="13"/>
                <w:color w:val="auto"/>
              </w:rPr>
            </w:pPr>
          </w:p>
        </w:tc>
        <w:tc>
          <w:tcPr>
            <w:tcW w:w="1240" w:type="dxa"/>
            <w:vAlign w:val="bottom"/>
          </w:tcPr>
          <w:p>
            <w:pPr>
              <w:jc w:val="right"/>
              <w:ind w:right="47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w:t>
            </w:r>
          </w:p>
        </w:tc>
      </w:tr>
      <w:tr>
        <w:trPr>
          <w:trHeight w:val="21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452.0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table represents consolidated Entertainment segment net revenues by category for the three and six months ended June 30, 2024 and July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84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Pr>
          <w:p>
            <w:pPr>
              <w:spacing w:after="0"/>
              <w:rPr>
                <w:sz w:val="13"/>
                <w:szCs w:val="13"/>
                <w:color w:val="auto"/>
              </w:rPr>
            </w:pPr>
          </w:p>
        </w:tc>
        <w:tc>
          <w:tcPr>
            <w:tcW w:w="122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Film and TV </w:t>
            </w:r>
            <w:r>
              <w:rPr>
                <w:rFonts w:ascii="Times New Roman" w:cs="Times New Roman" w:eastAsia="Times New Roman" w:hAnsi="Times New Roman"/>
                <w:sz w:val="21"/>
                <w:szCs w:val="21"/>
                <w:color w:val="auto"/>
                <w:vertAlign w:val="superscript"/>
              </w:rPr>
              <w:t>(1)</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right="300" w:firstLine="8"/>
        <w:spacing w:after="0"/>
        <w:tabs>
          <w:tab w:leader="none" w:pos="165" w:val="left"/>
        </w:tabs>
        <w:numPr>
          <w:ilvl w:val="0"/>
          <w:numId w:val="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Net revenues from the Company's Film and TV portfolio were primarily associated with the Company's non-core eOne Film and TV business sold to Lionsgate during the fourth quarter of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net revenues by brand portfolio for the three and six months ended June 30, 2024 and July 2,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4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88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820" w:type="dxa"/>
            <w:vAlign w:val="bottom"/>
          </w:tcPr>
          <w:p>
            <w:pPr>
              <w:spacing w:after="0"/>
              <w:rPr>
                <w:sz w:val="13"/>
                <w:szCs w:val="13"/>
                <w:color w:val="auto"/>
              </w:rPr>
            </w:pPr>
          </w:p>
        </w:tc>
        <w:tc>
          <w:tcPr>
            <w:tcW w:w="10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Non-Hasbro Branded Film &amp; TV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r>
      <w:tr>
        <w:trPr>
          <w:trHeight w:val="234"/>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right="220" w:firstLine="8"/>
        <w:spacing w:after="0"/>
        <w:tabs>
          <w:tab w:leader="none" w:pos="165" w:val="left"/>
        </w:tabs>
        <w:numPr>
          <w:ilvl w:val="0"/>
          <w:numId w:val="8"/>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Non-Core Entertainment One Film and TV Business</w:t>
      </w:r>
    </w:p>
    <w:p>
      <w:pPr>
        <w:spacing w:after="0" w:line="2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The Company sold eOne Film and TV for a sales price of</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$375.0 million in cash, subject to the satisfaction of customary net working capital closing conditions and holdbacks for certain retained liabilities, plus the assumption by Lionsgate of production financing loans. During the three months ended June 30, 2024, the Company recorded a $15.3 million expense in Loss on disposal of business on the Consolidated Statements of Operations associated with certain purchase price and related adjustments.</w:t>
      </w:r>
    </w:p>
    <w:p>
      <w:pPr>
        <w:spacing w:after="0" w:line="21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recorded a pre-tax non-cash charge of $539.0 million within Loss on disposal of business on the Consolidated Statements of Operations for the year ended December 31, 2023. The Company also recorded pre-tax cash transaction expenses of $35.1 million within Selling, distribution and administration expense on the Consolidated Statements of Operations for the year ended December 31, 2023. See note 3 of the Company's 2023 Annual Report for further detail of the Company's sale of the eOne Film and TV business.</w:t>
      </w:r>
    </w:p>
    <w:p>
      <w:pPr>
        <w:spacing w:after="0" w:line="203"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(loss) per share data for the three and six months ended June 30, 2024 and July 2, 2023 were computed as follows: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shares outstanding</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Options and other share-based awards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Equivalent Shares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23"/>
        </w:trPr>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44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435"/>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3"/>
        </w:trPr>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-925195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-590550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-316865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40" w:space="720"/>
            <w:col w:w="5280"/>
          </w:cols>
          <w:pgMar w:left="320" w:top="10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 per common share</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0.99</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5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0"/>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0.99</w:t>
            </w:r>
          </w:p>
        </w:tc>
        <w:tc>
          <w:tcPr>
            <w:tcW w:w="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5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bl>
    <w:p>
      <w:pPr>
        <w:spacing w:after="0" w:line="3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options and restricted stock units totaling 2.0 million and 2.3 million, respectively, were excluded from the calculation of diluted earnings per share because to include them would have been anti-dilutive. For the three and six months ended July 2, 2023, options and restricted stock units totaling 4.3 million and 4.2 million, respectively, were excluded from the calculation of diluted earnings per share because to include them would have been anti-dilutive. Of the fiscal 2023 amount, 1.2 million and 1.6 million shares, respectively, would have been included in the calculation of diluted shares had the Company not had a net loss for the three and six months ended July 2, 2023. Assuming that these awards and options were included, under the treasury stock method, they would have resulted in an additional 0.2 million and 0.1 million shares, respectively, being included in the diluted earnings per share calculation for the three and six months ended July 2, 2023.</w:t>
      </w:r>
    </w:p>
    <w:p>
      <w:pPr>
        <w:spacing w:after="0" w:line="21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operating segment, for the six months ended June 30, 2024 and July 2, 2023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Products</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Wizards of the Coast</w:t>
            </w:r>
          </w:p>
        </w:tc>
        <w:tc>
          <w:tcPr>
            <w:tcW w:w="180" w:type="dxa"/>
            <w:vAlign w:val="bottom"/>
          </w:tcPr>
          <w:p>
            <w:pPr>
              <w:spacing w:after="0"/>
              <w:rPr>
                <w:sz w:val="16"/>
                <w:szCs w:val="16"/>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Entertainment </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Digital Gaming</w:t>
            </w: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325.2</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2,279.2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1,582.2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325.2</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2,278.8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5" w:name="page16"/>
    <w:bookmarkEnd w:id="1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Products</w:t>
            </w:r>
          </w:p>
        </w:tc>
        <w:tc>
          <w:tcPr>
            <w:tcW w:w="12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Wizards of the Coast</w:t>
            </w:r>
          </w:p>
        </w:tc>
        <w:tc>
          <w:tcPr>
            <w:tcW w:w="200" w:type="dxa"/>
            <w:vAlign w:val="bottom"/>
          </w:tcPr>
          <w:p>
            <w:pPr>
              <w:spacing w:after="0"/>
              <w:rPr>
                <w:sz w:val="16"/>
                <w:szCs w:val="16"/>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Entertainment </w:t>
            </w:r>
            <w:r>
              <w:rPr>
                <w:rFonts w:ascii="Times New Roman" w:cs="Times New Roman" w:eastAsia="Times New Roman" w:hAnsi="Times New Roman"/>
                <w:sz w:val="21"/>
                <w:szCs w:val="21"/>
                <w:b w:val="1"/>
                <w:bCs w:val="1"/>
                <w:color w:val="auto"/>
                <w:vertAlign w:val="superscript"/>
              </w:rPr>
              <w:t>(1)</w:t>
            </w:r>
          </w:p>
        </w:tc>
        <w:tc>
          <w:tcPr>
            <w:tcW w:w="380" w:type="dxa"/>
            <w:vAlign w:val="bottom"/>
          </w:tcPr>
          <w:p>
            <w:pPr>
              <w:spacing w:after="0"/>
              <w:rPr>
                <w:sz w:val="16"/>
                <w:szCs w:val="16"/>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 Digital Gaming</w:t>
            </w:r>
          </w:p>
        </w:tc>
        <w:tc>
          <w:tcPr>
            <w:tcW w:w="2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88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1,584.7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371.5</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1,513.9</w:t>
            </w:r>
          </w:p>
        </w:tc>
        <w:tc>
          <w:tcPr>
            <w:tcW w:w="1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3,470.1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during the period</w:t>
            </w:r>
          </w:p>
        </w:tc>
        <w:tc>
          <w:tcPr>
            <w:tcW w:w="1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July 2,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1,282.7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3,239.2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60" w:firstLine="8"/>
        <w:spacing w:after="0"/>
        <w:tabs>
          <w:tab w:leader="none" w:pos="145" w:val="left"/>
        </w:tabs>
        <w:numPr>
          <w:ilvl w:val="0"/>
          <w:numId w:val="12"/>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During the fourth quarter of 2023, the Company recorded $960.0 million of non-cash goodwill impairment charges within the Entertainment segment. See further detail in the 2023 Annual Report.</w:t>
      </w:r>
    </w:p>
    <w:p>
      <w:pPr>
        <w:spacing w:after="0" w:line="3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six months ended July 2, 2023, the Company recorded non-cash impairment charges of $296.2 million within the Entertainment segment. These impairment charges consisted of a $231.2 million goodwill impairment charge associated recorded within Impairment of goodwill and a $65.0 million intangible asset impairment charge, recorded in Selling, distribution and administration costs, within the Consolidated Statements of Operations for the three and six months ended July 2, 2023.</w:t>
      </w:r>
    </w:p>
    <w:p>
      <w:pPr>
        <w:spacing w:after="0" w:line="203"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Earnings (Loss)</w:t>
      </w:r>
    </w:p>
    <w:p>
      <w:pPr>
        <w:spacing w:after="0" w:line="256"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Components of Other comprehensive earnings (loss) are presented within the Consolidated Statements of Comprehensive Earnings (Loss). The following table presents the related tax effects on changes in Other comprehensive earnings (loss) for the three and six months ended June 30, 2024 and July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88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00" w:type="dxa"/>
            <w:vAlign w:val="bottom"/>
          </w:tcPr>
          <w:p>
            <w:pPr>
              <w:spacing w:after="0"/>
              <w:rPr>
                <w:sz w:val="13"/>
                <w:szCs w:val="13"/>
                <w:color w:val="auto"/>
              </w:rPr>
            </w:pPr>
          </w:p>
        </w:tc>
        <w:tc>
          <w:tcPr>
            <w:tcW w:w="1160" w:type="dxa"/>
            <w:vAlign w:val="bottom"/>
          </w:tcPr>
          <w:p>
            <w:pPr>
              <w:jc w:val="center"/>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tax effect:</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(benefit) expense on cash flow hedging activities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2.3</w:t>
            </w:r>
          </w:p>
        </w:tc>
      </w:tr>
      <w:tr>
        <w:trPr>
          <w:trHeight w:val="21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Reclassifications to earnings (loss), tax effect: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(benefit) expense on cash flow hedging activities</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unrecognized pension and postretirement amounts</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0.1</w:t>
            </w: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tax effect on other comprehensive earnings (loss)</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w w:val="99"/>
              </w:rPr>
              <w:t>2.0</w:t>
            </w:r>
          </w:p>
        </w:tc>
      </w:tr>
      <w:tr>
        <w:trPr>
          <w:trHeight w:val="20"/>
        </w:trPr>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earnings (loss), net of tax for the six months ended June 30, 2024 and July 2, 2023 are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Postretirement</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for-Sale</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period other comprehensive earnings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25,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period other comprehensive earnings (loss)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2,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(Losses) on Derivative Instruments</w:t>
      </w:r>
    </w:p>
    <w:p>
      <w:pPr>
        <w:spacing w:after="0" w:line="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At June 30, 2024, the Company had remaining net deferred losses on foreign currency forward contracts, net of tax, of $3.1 million in Accumulated other comprehensive earnings (loss) ("AOCE"). These instruments hedge payments related to inventory purchased in the six months ended June 30, 2024 or forecasted to be purchased during the remainder of 2024, intercompany expenses expected to be paid or received during 2024 and cash receipts for sales made at the end of the second quarter of 2024 or forecasted to be made in the remainder of 2024. These amounts will be reclassified into the Consolidated Statements of Operations upon the sale of the related inventory or recognition of the related sales expenses.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foreign currency forward contracts, the Company entered into hedging contracts on future interest payments related to the 3.15% Notes that were repaid in full in the aggregate principal amount of $300.0 million in 2021, and the 5.10% Notes due 2044. At the date of debt issuance, these contracts were terminated and the fair value on the date of settlement was deferred in AOCE and is being amortized to interest expense over the life of the related notes using the effective interest rate method. At June 30, 2024, deferred losses, net of tax of $13.7 million related to these instruments remained in AOCE. For each of the three months ended June 30, 2024 and July 2, 2023, previously deferred losses of $0.2 million related to these instruments were reclassified from AOCE to net earnings. For the six months ended June 30, 2024 and July 2, 2023, previously deferred losses of $0.4 million and $0.4 million, respectively, related to these instruments were reclassified from AOCE to net earnings.</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Of the net deferred losses included in AOCE at June 30, 2024, the Company expects net losses of approximately $2.4 million to be reclassified to the Consolidated Statements of Operations within the next twelve months. However, the amount ultimately realized in earnings is dependent on the fair value of the hedging instruments on the settlement 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additional discussion on reclassifications from AOCE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Balance Sheet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Accrued liabilities for the periods ended June 30, 2024, July 2, 2023 and December 31, 2023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40" w:type="dxa"/>
            <w:vAlign w:val="bottom"/>
          </w:tcPr>
          <w:p>
            <w:pPr>
              <w:spacing w:after="0"/>
              <w:rPr>
                <w:sz w:val="16"/>
                <w:szCs w:val="16"/>
                <w:color w:val="auto"/>
              </w:rPr>
            </w:pPr>
          </w:p>
        </w:tc>
        <w:tc>
          <w:tcPr>
            <w:tcW w:w="15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Lag &amp; cancellation charges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Dividends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taxes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vendor accruals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Participations and residuals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Advertising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 current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management incentives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contribution plans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Freight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 IIP &amp; IIC</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80" w:firstLine="8"/>
        <w:spacing w:after="0" w:line="222" w:lineRule="auto"/>
        <w:tabs>
          <w:tab w:leader="none" w:pos="165" w:val="left"/>
        </w:tabs>
        <w:numPr>
          <w:ilvl w:val="0"/>
          <w:numId w:val="15"/>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During the third quarter of 2024, the Board of Directors has declared a quarterly cash dividend of $0.70 per common share payable on September 4, 2024, to shareholders of record at the close of business on August 21, 2024.</w:t>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include accrued income, current of $159.3 million, $375.8 million, and $85.6 million as of June 30, 2024, July 2, 2023 and December 31, 2023, respectively.</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assets include deferred tax assets of $397.4 million, $264.9 million, and $427.9 million as of June 30, 2024, July 2, 2023 and December 31, 2023, respectively, and content assets of $144.7 million, $949.1 million, and $162.8 million as of June 30, 2024, July 2, 2023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18" w:name="page19"/>
    <w:bookmarkEnd w:id="1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costs, which are equal to the outstanding principal amounts, and fair values of the Company's long-term borrowings as of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2023 and December 31, 2023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40" w:type="dxa"/>
            <w:vAlign w:val="bottom"/>
          </w:tcPr>
          <w:p>
            <w:pPr>
              <w:spacing w:after="0"/>
              <w:rPr>
                <w:sz w:val="13"/>
                <w:szCs w:val="13"/>
                <w:color w:val="auto"/>
              </w:rPr>
            </w:pPr>
          </w:p>
        </w:tc>
        <w:tc>
          <w:tcPr>
            <w:tcW w:w="880" w:type="dxa"/>
            <w:vAlign w:val="bottom"/>
          </w:tcPr>
          <w:p>
            <w:pPr>
              <w:jc w:val="center"/>
              <w:ind w:right="35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20" w:type="dxa"/>
            <w:vAlign w:val="bottom"/>
          </w:tcPr>
          <w:p>
            <w:pPr>
              <w:spacing w:after="0"/>
              <w:rPr>
                <w:sz w:val="13"/>
                <w:szCs w:val="13"/>
                <w:color w:val="auto"/>
              </w:rPr>
            </w:pPr>
          </w:p>
        </w:tc>
        <w:tc>
          <w:tcPr>
            <w:tcW w:w="900" w:type="dxa"/>
            <w:vAlign w:val="bottom"/>
          </w:tcPr>
          <w:p>
            <w:pPr>
              <w:jc w:val="center"/>
              <w:ind w:right="35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3"/>
                <w:szCs w:val="13"/>
                <w:color w:val="auto"/>
              </w:rPr>
            </w:pPr>
          </w:p>
        </w:tc>
        <w:tc>
          <w:tcPr>
            <w:tcW w:w="102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40" w:type="dxa"/>
            <w:vAlign w:val="bottom"/>
          </w:tcPr>
          <w:p>
            <w:pPr>
              <w:spacing w:after="0"/>
              <w:rPr>
                <w:sz w:val="18"/>
                <w:szCs w:val="18"/>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2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6.35%</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6.05% Notes Due 2034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5.10%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2044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6.60%</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Debentures Due 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 Notes Due December 30,</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Production Financing Facilities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3,984.9</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3,556.6</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3,484.9</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3,349.1</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debt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3,349.1</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During the fourth quarter of 2023, the Company paid the remaining principal balance of the Variable % Notes Due December 30, 2024.</w:t>
      </w:r>
    </w:p>
    <w:p>
      <w:pPr>
        <w:ind w:right="80" w:firstLine="8"/>
        <w:spacing w:after="0" w:line="278" w:lineRule="auto"/>
        <w:tabs>
          <w:tab w:leader="none" w:pos="145" w:val="left"/>
        </w:tabs>
        <w:numPr>
          <w:ilvl w:val="0"/>
          <w:numId w:val="1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Company's production financing facilities were assumed by Lionsgate effective upon the closing of the sale of the eOne Film and TV business in the fourth quarter of 2023. See note 3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2034 Notes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May 2024, the Company issued an aggregate of $500.0 million of senior unsecured debt securities that bear a fixed interest rate of 6.05% due 2034 (the "2034 Notes"). In connection with the issuance of the 2034 Notes, the 2034 Notes were issued with an original issuance discount of $1.4 million and the Company capitalized $5.3 million of debt issuance costs. The original issuance discount and debt issuance costs will be amortized over the term of the 2034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Other Financing Arrangements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Company's third amended and restated revolving credit facility with Bank of America, as administrative agent, swing line lender, a letter of credit issuer and a lender and certain other financial institutions as lenders thereto (the "Amended Revolving Credit Facility")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 $72.4 million, $89.0 million, and $43.3 million as of June 30, 2024, July 2, 2023 and December 31, 2023, respectively. These obligations are presented within Accounts payable in our Consolidated Balance Sheets. The activity related to this program is reflected within the operating activities section of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9" w:name="page20"/>
    <w:bookmarkEnd w:id="1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Productions and Investments in Acquired Content Rights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2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Company's unamortized investments in productions and investments in acquired content rights consisted of the following at June 30, 2024, July 2, 2023, and December 31, 2023:</w:t>
      </w: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2"/>
          </w:tcPr>
          <w:p>
            <w:pPr>
              <w:ind w:left="340"/>
              <w:spacing w:after="0" w:line="165"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4"/>
                <w:szCs w:val="14"/>
                <w:color w:val="auto"/>
              </w:rPr>
            </w:pPr>
          </w:p>
        </w:tc>
        <w:tc>
          <w:tcPr>
            <w:tcW w:w="1820" w:type="dxa"/>
            <w:vAlign w:val="bottom"/>
            <w:gridSpan w:val="2"/>
          </w:tcPr>
          <w:p>
            <w:pPr>
              <w:ind w:left="380"/>
              <w:spacing w:after="0" w:line="165" w:lineRule="exact"/>
              <w:rPr>
                <w:sz w:val="20"/>
                <w:szCs w:val="20"/>
                <w:color w:val="auto"/>
              </w:rPr>
            </w:pPr>
            <w:r>
              <w:rPr>
                <w:rFonts w:ascii="Times New Roman" w:cs="Times New Roman" w:eastAsia="Times New Roman" w:hAnsi="Times New Roman"/>
                <w:sz w:val="16"/>
                <w:szCs w:val="16"/>
                <w:b w:val="1"/>
                <w:bCs w:val="1"/>
                <w:color w:val="auto"/>
              </w:rPr>
              <w:t>July 2,</w:t>
            </w:r>
          </w:p>
        </w:tc>
        <w:tc>
          <w:tcPr>
            <w:tcW w:w="340" w:type="dxa"/>
            <w:vAlign w:val="bottom"/>
          </w:tcPr>
          <w:p>
            <w:pPr>
              <w:spacing w:after="0"/>
              <w:rPr>
                <w:sz w:val="14"/>
                <w:szCs w:val="14"/>
                <w:color w:val="auto"/>
              </w:rPr>
            </w:pPr>
          </w:p>
        </w:tc>
        <w:tc>
          <w:tcPr>
            <w:tcW w:w="1840" w:type="dxa"/>
            <w:vAlign w:val="bottom"/>
          </w:tcPr>
          <w:p>
            <w:pPr>
              <w:jc w:val="right"/>
              <w:ind w:right="539"/>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3220" w:type="dxa"/>
            <w:vAlign w:val="bottom"/>
            <w:tcBorders>
              <w:bottom w:val="single" w:sz="8" w:color="auto"/>
            </w:tcBorders>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Investment in Films and Television Programs: (1)</w:t>
            </w:r>
          </w:p>
        </w:tc>
        <w:tc>
          <w:tcPr>
            <w:tcW w:w="1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Individual Monetization</w:t>
            </w: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Completed and not released</w:t>
            </w:r>
          </w:p>
        </w:tc>
        <w:tc>
          <w:tcPr>
            <w:tcW w:w="4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Pre-production</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color w:val="auto"/>
              </w:rPr>
              <w:t>Film/TV Group Monetization</w:t>
            </w: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44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156"/>
        </w:trPr>
        <w:tc>
          <w:tcPr>
            <w:tcW w:w="20" w:type="dxa"/>
            <w:vAlign w:val="bottom"/>
          </w:tcPr>
          <w:p>
            <w:pPr>
              <w:spacing w:after="0"/>
              <w:rPr>
                <w:sz w:val="13"/>
                <w:szCs w:val="13"/>
                <w:color w:val="auto"/>
              </w:rPr>
            </w:pPr>
          </w:p>
        </w:tc>
        <w:tc>
          <w:tcPr>
            <w:tcW w:w="4340" w:type="dxa"/>
            <w:vAlign w:val="bottom"/>
            <w:gridSpan w:val="6"/>
          </w:tcPr>
          <w:p>
            <w:pPr>
              <w:spacing w:after="0" w:line="155" w:lineRule="exact"/>
              <w:rPr>
                <w:sz w:val="20"/>
                <w:szCs w:val="20"/>
                <w:color w:val="auto"/>
              </w:rPr>
            </w:pPr>
            <w:r>
              <w:rPr>
                <w:rFonts w:ascii="Times New Roman" w:cs="Times New Roman" w:eastAsia="Times New Roman" w:hAnsi="Times New Roman"/>
                <w:sz w:val="16"/>
                <w:szCs w:val="16"/>
                <w:color w:val="auto"/>
              </w:rPr>
              <w:t>Investment in Other Programming</w:t>
            </w: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Completed and not released</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Pre-production</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2"/>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Total Program Investments</w:t>
            </w: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right="100" w:firstLine="8"/>
        <w:spacing w:after="0" w:line="212" w:lineRule="auto"/>
        <w:tabs>
          <w:tab w:leader="none" w:pos="181" w:val="left"/>
        </w:tabs>
        <w:numPr>
          <w:ilvl w:val="0"/>
          <w:numId w:val="19"/>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Investments in productions and investments in acquired content totaling $734.8 million were removed from the Company's balance sheet as of December 31, 2023, in connection with the sale of the eOne Film and TV business completed on December 27, 2023. See note 3 for additional information.</w:t>
      </w:r>
    </w:p>
    <w:p>
      <w:pPr>
        <w:spacing w:after="0" w:line="22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Company's program cost amortization related to released programming during the three and six months ended June 30, 2024 and July 2, 2023,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880" w:type="dxa"/>
            <w:vAlign w:val="bottom"/>
          </w:tcPr>
          <w:p>
            <w:pPr>
              <w:spacing w:after="0"/>
              <w:rPr>
                <w:sz w:val="13"/>
                <w:szCs w:val="13"/>
                <w:color w:val="auto"/>
              </w:rPr>
            </w:pPr>
          </w:p>
        </w:tc>
        <w:tc>
          <w:tcPr>
            <w:tcW w:w="11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Pr>
          <w:p>
            <w:pPr>
              <w:spacing w:after="0"/>
              <w:rPr>
                <w:sz w:val="13"/>
                <w:szCs w:val="13"/>
                <w:color w:val="auto"/>
              </w:rPr>
            </w:pPr>
          </w:p>
        </w:tc>
        <w:tc>
          <w:tcPr>
            <w:tcW w:w="120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production</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content</w:t>
            </w:r>
          </w:p>
        </w:tc>
        <w:tc>
          <w:tcPr>
            <w:tcW w:w="11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37"/>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program cost amortization</w:t>
            </w: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effective tax rate ("ETR") from continuing operations was 25.1% for the six months ended June 30, 2024 and (3.1)% for the six months ended July 2, 2023. The following items caused the year-to-date ETR in 2024 to be significantly different from the 2023 year-to-date ETR:</w:t>
      </w:r>
    </w:p>
    <w:p>
      <w:pPr>
        <w:ind w:left="660" w:right="20" w:hanging="328"/>
        <w:spacing w:after="0" w:line="250"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2024, the Company recorded unfavorable adjustments to the 2023 Loss on Sale of the Film &amp; TV reporting unit of $24.4 million with no tax benefit. The Company also recorded a net discrete tax expense of $0.7 million, primarily associated with stock-based compensation.</w:t>
      </w:r>
    </w:p>
    <w:p>
      <w:pPr>
        <w:spacing w:after="0" w:line="1"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July 2, 2023, the Company recorded an impairment of goodwill related to the Film and TV reporting unit of $231.2 million with no tax benefit. The Company also recorded a net discrete tax benefit of $8.9 million, exclusive of the goodwill impairment, primarily associated with a tax benefit on the impairment of trade names in the Entertainment segment, offset by discrete tax expense on stock-based compensation and net activity related to uncertain tax positions, primarily interest accruals, combined with the phasing of the Company's income earned throughout 2023.</w:t>
      </w:r>
    </w:p>
    <w:p>
      <w:pPr>
        <w:spacing w:after="0" w:line="20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at fair value. The fair value hierarchy consists of three levels:</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based on quoted market prices in active markets for identical assets or liabilities that the entity has the ability to access;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values are based on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1" w:name="page22"/>
    <w:bookmarkEnd w:id="2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At June 30, 2024, July 2, 2023 and December 31, 2023, the Company had the following assets and liabilities measured at fair value in its Consolidated Balance Sheets (excluding assets for which the fair value is measured using net asset value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Quoted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Prices in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Active</w:t>
            </w: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Identical</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55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June 30, 2024</w:t>
            </w:r>
          </w:p>
        </w:tc>
        <w:tc>
          <w:tcPr>
            <w:tcW w:w="8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40" w:type="dxa"/>
            <w:vAlign w:val="bottom"/>
            <w:tcBorders>
              <w:top w:val="single" w:sz="8" w:color="CCEEFF"/>
            </w:tcBorders>
            <w:gridSpan w:val="2"/>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487.3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July 2, 2023</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760" w:type="dxa"/>
            <w:vAlign w:val="bottom"/>
            <w:tcBorders>
              <w:top w:val="single" w:sz="8" w:color="CCEEFF"/>
            </w:tcBorders>
            <w:gridSpan w:val="3"/>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At June 30, 2024, the Company held $483.0 million of U.S. Treasury bills which are classified as held-to maturity and carried at amortized cost, and were recorded in Short-term investments in the Company's Consolidated Balance Sheet. This amount reflects the proceeds from the Company’s $500 million debt offering completed in May 2024, which proceeds, together with available cash, are expected to be used to repay indebtedness of the Company due in November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2" w:name="page23"/>
    <w:bookmarkEnd w:id="2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5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Company's derivatives primarily consist of foreign currency forward and option contracts. The Company uses current forward rates of the respective foreign currencies to measure the fair value of these contracts. There were no changes in these valuation techniques during the three and six months ended June 30, 2024. There were no material changes to fair value measurements of the Company's financial instruments which use significant unobservable inputs (Level 3) for three and six months ended June 30, 2024 and July 2,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short-term borrowings, accounts payable and certain Accrued liabilities. At June 30, 2024, July 2, 2023 and December 31, 2023, the carrying cost of these instruments approximated their fair value. The Company's financial instruments at June 30, 2024, July 2, 2023 and December 31, 2023 also include certain assets and liabilities measured at fair value, as described above. See note 8 for the fair value of the Company's outstanding debt.</w:t>
      </w:r>
    </w:p>
    <w:p>
      <w:pPr>
        <w:spacing w:after="0" w:line="212"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Hasbro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primarily for the remainder of 2024, and into 2025.</w:t>
      </w:r>
    </w:p>
    <w:p>
      <w:pPr>
        <w:spacing w:after="0" w:line="21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 June 30, 2024, July 2, 2023 and December 31, 2023, the notional amounts and fair values of the Company's foreign currency forward contracts designated as cash flow hedging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July 2, 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Hedged transaction</w:t>
            </w: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80" w:type="dxa"/>
            <w:vAlign w:val="bottom"/>
          </w:tcPr>
          <w:p>
            <w:pPr>
              <w:spacing w:after="0"/>
              <w:rPr>
                <w:sz w:val="13"/>
                <w:szCs w:val="13"/>
                <w:color w:val="auto"/>
              </w:rPr>
            </w:pPr>
          </w:p>
        </w:tc>
        <w:tc>
          <w:tcPr>
            <w:tcW w:w="102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5"/>
                <w:szCs w:val="15"/>
                <w:color w:val="auto"/>
              </w:rPr>
            </w:pPr>
          </w:p>
        </w:tc>
        <w:tc>
          <w:tcPr>
            <w:tcW w:w="1020" w:type="dxa"/>
            <w:vAlign w:val="bottom"/>
          </w:tcPr>
          <w:p>
            <w:pPr>
              <w:jc w:val="right"/>
              <w:ind w:right="379"/>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purchases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Royalties and Other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3" w:name="page24"/>
    <w:bookmarkEnd w:id="2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June 30, 2024, July 2, 2023 and December 31, 2023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3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CCEEFF"/>
            </w:tcBorders>
          </w:tcPr>
          <w:p>
            <w:pPr>
              <w:jc w:val="center"/>
              <w:ind w:left="779"/>
              <w:spacing w:after="0"/>
              <w:rPr>
                <w:sz w:val="20"/>
                <w:szCs w:val="20"/>
                <w:color w:val="auto"/>
              </w:rPr>
            </w:pPr>
            <w:r>
              <w:rPr>
                <w:rFonts w:ascii="Times New Roman" w:cs="Times New Roman" w:eastAsia="Times New Roman" w:hAnsi="Times New Roman"/>
                <w:sz w:val="16"/>
                <w:szCs w:val="16"/>
                <w:color w:val="auto"/>
                <w:w w:val="99"/>
              </w:rPr>
              <w:t>3.8</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7"/>
              </w:rPr>
              <w:t>(3.0)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2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63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Other assets</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51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CCEEFF"/>
            </w:tcBorders>
          </w:tcPr>
          <w:p>
            <w:pPr>
              <w:jc w:val="center"/>
              <w:ind w:left="77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7"/>
              </w:rPr>
              <w:t>(7.0)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2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w w:val="97"/>
              </w:rPr>
              <w:t>(5.8)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Net gains (losses) on cash flow hedging activities have been reclassified from other comprehensive earnings (loss) to net earnings for the three and six months ended June 30, 2024 and July 2, 2023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Pr>
          <w:p>
            <w:pPr>
              <w:spacing w:after="0"/>
              <w:rPr>
                <w:sz w:val="13"/>
                <w:szCs w:val="13"/>
                <w:color w:val="auto"/>
              </w:rPr>
            </w:pPr>
          </w:p>
        </w:tc>
        <w:tc>
          <w:tcPr>
            <w:tcW w:w="1220" w:type="dxa"/>
            <w:vAlign w:val="bottom"/>
          </w:tcPr>
          <w:p>
            <w:pPr>
              <w:jc w:val="center"/>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2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74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Statements of Operations Classification</w:t>
            </w:r>
          </w:p>
        </w:tc>
        <w:tc>
          <w:tcPr>
            <w:tcW w:w="20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1.3</w:t>
            </w:r>
          </w:p>
        </w:tc>
      </w:tr>
      <w:tr>
        <w:trPr>
          <w:trHeight w:val="21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0.2</w:t>
            </w:r>
          </w:p>
        </w:tc>
      </w:tr>
      <w:tr>
        <w:trPr>
          <w:trHeight w:val="213"/>
        </w:trPr>
        <w:tc>
          <w:tcPr>
            <w:tcW w:w="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w w:val="97"/>
              </w:rPr>
              <w:t>(0.3)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rPr>
              <w:t>(0.7)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(losses) gains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Undesignated Hedges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June 30, 2024, July 2, 2023 and December 31, 2023, the total notional amounts of the Company's undesignated derivative instruments were $246.6 million, $810.4 million, and $340.5 million,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2024, July 2, 2023 and December 31, 2023, the fair values of the Company's undesignated derivative financial instruments were recorded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3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63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2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recorded a net loss of $4.9 million and a net gain of $4.2 million for three and six months ended June 30, 2024, respectively, and net gains of $6.8 million and $11.2 million, three and six months ended July 2, 2023, respectively, on these instruments to Other (income) expense, net relating to the change in fair value of such derivatives, substantially offsetting gains and losses from the change in fair value of intercompany loans to which the contracts relate.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the Company's derivative financial instruments (see notes 6 and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5" w:name="page26"/>
    <w:bookmarkEnd w:id="2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Actions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2018 and 2020, the Company took certain restructuring actions including headcount reduction aimed at right-sizing the Company’s cost-structure and integration actions related to the acquisition of eOne. As of June 30, 2024, the Company had a remaining balance of $0.7 million in severance and other employee expenses related to these programs included within Other accrued liabilities in the Consolidated Balance Sheets, after making payments of $1.9 million during the six months ended June 30, 2024. Substantially all of the remaining cash payments related to these programs are expected to be made by the end of 2024.</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2022 and 2023, Hasbro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which will include voluntary early retirement for certain groups of employees and additional involuntary reduction in employees ("Additional Actions"). The Company currently anticipates that the Additional Actions will be substantially complete over the next 18 to 24 months.</w:t>
      </w:r>
    </w:p>
    <w:p>
      <w:pPr>
        <w:spacing w:after="0" w:line="21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Charges related to the Program were recorded in Selling, distribution and administration within Corporate and Other. Going forward, the Company may implement further cost-saving initiatives under the Program that could result in additional restructuring charges including severance and other employee charges.</w:t>
      </w:r>
    </w:p>
    <w:p>
      <w:pPr>
        <w:spacing w:after="0" w:line="20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As of June 30, 2024, the liability balance associated with the Program related restructuring actions consisted of severance payments recorded within Other accrued liabilities in the Consolidated Balance Sheets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Operational Excellence</w:t>
            </w:r>
          </w:p>
        </w:tc>
        <w:tc>
          <w:tcPr>
            <w:tcW w:w="260" w:type="dxa"/>
            <w:vAlign w:val="bottom"/>
          </w:tcPr>
          <w:p>
            <w:pPr>
              <w:spacing w:after="0"/>
              <w:rPr>
                <w:sz w:val="13"/>
                <w:szCs w:val="13"/>
                <w:color w:val="auto"/>
              </w:rPr>
            </w:pPr>
          </w:p>
        </w:tc>
        <w:tc>
          <w:tcPr>
            <w:tcW w:w="12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120" w:type="dxa"/>
            <w:vAlign w:val="bottom"/>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restructuring charges incurred to date under the Program, along with the estimated charges expected to be incurred on approved initiatives under the Program as of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Operational Excellence</w:t>
            </w:r>
          </w:p>
        </w:tc>
        <w:tc>
          <w:tcPr>
            <w:tcW w:w="24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Charges incurred to date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13"/>
        </w:trPr>
        <w:tc>
          <w:tcPr>
            <w:tcW w:w="20" w:type="dxa"/>
            <w:vAlign w:val="bottom"/>
            <w:tcBorders>
              <w:bottom w:val="single" w:sz="8" w:color="CCEEFF"/>
            </w:tcBorders>
          </w:tcPr>
          <w:p>
            <w:pPr>
              <w:spacing w:after="0"/>
              <w:rPr>
                <w:sz w:val="18"/>
                <w:szCs w:val="18"/>
                <w:color w:val="auto"/>
              </w:rPr>
            </w:pPr>
          </w:p>
        </w:tc>
        <w:tc>
          <w:tcPr>
            <w:tcW w:w="10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Estimated charges to be incurred on approved initiatives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0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expected charges on approved initiatives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Environmental Liabilities - The Company monitors for any estimated environmental contingencies related to its current physical locations and former owned or leased facilities in which it is responsible for environmental matters. The Company has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6" w:name="page27"/>
    <w:bookmarkEnd w:id="2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$31.1 million environmental liability related to a previously owned manufacturing facility (environmental liability assumed as part of a historical acquisition), in which the Company is solely responsible for the mitigation and remediation activities.</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Contractual obligations and commercial commitments, as detailed in the Company's 2023 Form 10-K, did not materially change outside of certain payments made in the normal course of business, except as disclosed above and as disclosed in note 8.</w:t>
      </w:r>
    </w:p>
    <w:p>
      <w:pPr>
        <w:spacing w:after="0" w:line="185"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5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Hasbro is a game, toy, and intellectual property company with a broad portfolio of brands and entertainment content spanning toys, games, licensed products ranging from traditional to digital, as well as film and television entertainment. The Company's reportable segments are Consumer Products, Wizards of the Coast and Digital Gaming, Entertainment and Corporate and Other.</w:t>
      </w:r>
    </w:p>
    <w:p>
      <w:pPr>
        <w:spacing w:after="0" w:line="203" w:lineRule="exact"/>
        <w:rPr>
          <w:sz w:val="20"/>
          <w:szCs w:val="20"/>
          <w:color w:val="auto"/>
        </w:rPr>
      </w:pPr>
    </w:p>
    <w:p>
      <w:pPr>
        <w:ind w:left="660" w:right="12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spacing w:after="0" w:line="206"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spacing w:after="0" w:line="206"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Entertainment segment engages in the development and production of Hasbro-branded entertainment content including film, television, children's programming, digital content and live entertainment focused on Hasbro-owned properties. Corporate and Other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by segment and a reconciliation to reported amounts for the three and six months ended June 30, 2024 and July 2, 2023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88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4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1,175.6</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Entertainment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r>
      <w:tr>
        <w:trPr>
          <w:trHeight w:val="216"/>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revenues: (1)</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Entertainment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intercompany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 Products (2)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Entertainment (3)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 (3) (4)</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0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profit (loss)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revenues from transactions with other operating segments that are included in the operating profit (loss) of the segment.</w:t>
      </w:r>
    </w:p>
    <w:p>
      <w:pPr>
        <w:spacing w:after="0" w:line="244" w:lineRule="exact"/>
        <w:rPr>
          <w:rFonts w:ascii="Times New Roman" w:cs="Times New Roman" w:eastAsia="Times New Roman" w:hAnsi="Times New Roman"/>
          <w:sz w:val="14"/>
          <w:szCs w:val="14"/>
          <w:i w:val="1"/>
          <w:iCs w:val="1"/>
          <w:color w:val="auto"/>
        </w:rPr>
      </w:pPr>
    </w:p>
    <w:p>
      <w:pPr>
        <w:ind w:right="40" w:firstLine="8"/>
        <w:spacing w:after="0" w:line="276" w:lineRule="auto"/>
        <w:tabs>
          <w:tab w:leader="none" w:pos="204"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three months ended June 30, 2024, the Company recorded two non-recurring prior year adjustments: (i) a $31.1 million expense related to historical environmental exposures, and (ii) a $26.7 million benefit related to over-accrual of vendor commitment liabilities. See Note 1 for further information. Both of these originally related to the Consumer Products segment; however, because the non-recurring nature of these adjustments are related to historical periods and not associated with the on-going future operations of the Consumer Products segment, the Company recorded the error corrections within the Corporate and Other segment.</w:t>
      </w:r>
    </w:p>
    <w:p>
      <w:pPr>
        <w:spacing w:after="0" w:line="204" w:lineRule="exact"/>
        <w:rPr>
          <w:rFonts w:ascii="Times New Roman" w:cs="Times New Roman" w:eastAsia="Times New Roman" w:hAnsi="Times New Roman"/>
          <w:sz w:val="14"/>
          <w:szCs w:val="14"/>
          <w:i w:val="1"/>
          <w:iCs w:val="1"/>
          <w:color w:val="auto"/>
        </w:rPr>
      </w:pPr>
    </w:p>
    <w:p>
      <w:pPr>
        <w:ind w:right="100" w:firstLine="8"/>
        <w:spacing w:after="0" w:line="269" w:lineRule="auto"/>
        <w:tabs>
          <w:tab w:leader="none" w:pos="204"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209" w:lineRule="exact"/>
        <w:rPr>
          <w:rFonts w:ascii="Times New Roman" w:cs="Times New Roman" w:eastAsia="Times New Roman" w:hAnsi="Times New Roman"/>
          <w:sz w:val="14"/>
          <w:szCs w:val="14"/>
          <w:i w:val="1"/>
          <w:iCs w:val="1"/>
          <w:color w:val="auto"/>
        </w:rPr>
      </w:pPr>
    </w:p>
    <w:p>
      <w:pPr>
        <w:ind w:right="20" w:firstLine="8"/>
        <w:spacing w:after="0" w:line="266" w:lineRule="auto"/>
        <w:tabs>
          <w:tab w:leader="none" w:pos="204"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Corporate and Other Operating profit (loss) includes Operational Excellence related transformation office and consulting fees of $7.3 million and $12.5 million for the three and six months ended June 30, 2024, respectively, and $10.4 million and $21.0 million for the three and six months ended July 2, 2023, respectively, which are recorded within Selling, distribution and administration costs within the Consolidated Statements of Operations. Third party consultants were engaged to assist the Company in performing a comprehensive review of operations and developing a transformation plan designed to support the organization in identifying, realizing, and capturing savings through the identification of organizational initiatives intended to create efficiencies and improve business processes and operations. The consultants assisted in providing benchmark data and are currently assisting with the design of an improved operating model and supply chain function. The Company expects this consulting assistance to conclude within 2024 in line with the transformation plans.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(Dollar and share amounts in tables presented in millions, unless otherwise noted)</w:t>
      </w:r>
    </w:p>
    <w:p>
      <w:pPr>
        <w:spacing w:after="0" w:line="2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the accompanying unaudited consolidated financial statements and the notes thereto included in this Quarterly Report and the audited consolidated financial statements and the notes thereto in the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Hasbro, Inc. ("Hasbro") is a game, toy, and intellectual property company whose mission is to entertain and connect generations of fans through the exhilaration of play and the wonder of storytelling. We are Creating Magic Through Play by delivering engaging brand experiences for global audiences across gaming, consumer products and entertainment, with a portfolio of iconic brands including MAGIC: THE GATHERING, Hasbro Gaming, PLAY-DOH, NERF, TRANSFORMERS, DUNGEONS &amp; DRAGONS, and PEPPA PIG, as well as premier partner brands.</w:t>
      </w:r>
    </w:p>
    <w:p>
      <w:pPr>
        <w:spacing w:after="0" w:line="207"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Hasbro is guided by our purpose to create joy and community for all people around the world, one game, one toy, one story at a time. For the past decade, we have been consistently recognized for our corporate citizenship, including being named one of the 100 Best Corporate Citizens by 3BL Media.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fiscal year 2023, we embarked upon an ambitious, multi-year transformation guided by our revamped strategy to focus on fewer, bigger and better brands. Since that announcement, we have been able to create efficiencies in our supply chain, improve our inventory position, lower our costs, and reinvest back into the business. In addition, we have strengthened our leadership team with industry veterans and turnaround experts and have focused our strategic investments on our most valuable and profitable franchises across games, toys, licensing and entertainment. This focused strategy also led to the decision to sell certain non-core parts of our business, including the Entertainment One film and television business ("eOne Film and TV") in December 2023, while retaining brand-based created content and the capability to develop and produce entertainment including animation, digital shorts, scripted TV and theatrical films related to core Hasbro IP, as well as our Family Brands business. In addition, during 2023, we made the difficult decision to take additional headcount reductions and accelerate the process of certain organizational structure changes in an effort to strengthen our foundation and position Hasbro for growth.</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2024, the Company experienced declines in revenue from $1,210.0 million and $2,211.0 million for the three and six months ended July 2, 2023, respectively, to $995.3 million and $1,752.6 million for the three and six months ended June 30, 2024, respectively, driven primarily by the sale of eOne Film and TV business and by broader industry trends, exited businesses, shifts in product mix, a lighter entertainment slate in the current year, and reduced closeout sales in the Consumer Products business, partially offset by increases in our Wizards of the Coast and Digital Gaming segment driven by higher digital licensing revenue and contributions from MAGIC: THE GATHERING. The Company has made strong progress towards its ongoing turnaround efforts while achieving an operating profit of $212.1 million and $328.3 million during the three and six months ended June 30, 2024, respectively, as compared to an operating loss of $188.6 million and $170.7 million for the three and six months ended July 2, 2023, respectively. See the below discussion for the consolidated and segment results of operations.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consolidated results of operations for the three months ended June 30, 2024 and 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284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10"/>
        </w:trPr>
        <w:tc>
          <w:tcPr>
            <w:tcW w:w="49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of Net Revenues</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of Net Revenues</w:t>
            </w:r>
          </w:p>
        </w:tc>
      </w:tr>
      <w:tr>
        <w:trPr>
          <w:trHeight w:val="21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995.3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237.7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r>
      <w:tr>
        <w:trPr>
          <w:trHeight w:val="213"/>
        </w:trPr>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production cost amortization</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13"/>
        </w:trPr>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goodwill</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r>
      <w:tr>
        <w:trPr>
          <w:trHeight w:val="213"/>
        </w:trPr>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318.5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r>
      <w:tr>
        <w:trPr>
          <w:trHeight w:val="207"/>
        </w:trPr>
        <w:tc>
          <w:tcPr>
            <w:tcW w:w="492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783.2</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78.7 %</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115.6 %</w:t>
            </w: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212.1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3"/>
        </w:trPr>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Other income, net</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492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10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182.9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2"/>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138.5</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5"/>
        </w:trPr>
        <w:tc>
          <w:tcPr>
            <w:tcW w:w="49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revenues - </w:t>
      </w:r>
      <w:r>
        <w:rPr>
          <w:rFonts w:ascii="Times New Roman" w:cs="Times New Roman" w:eastAsia="Times New Roman" w:hAnsi="Times New Roman"/>
          <w:sz w:val="18"/>
          <w:szCs w:val="18"/>
          <w:color w:val="auto"/>
        </w:rPr>
        <w:t>Net revenues for the second quarter of 2024 declined 18% to $995.3 million from $1,210.0 million for the second quarter of 2023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a $160.4 million, or 90%, decline in the Entertainment driven by the sale of the eOne Film and TV business, and a $130.7 million, or 20%, decline in the Consumer Products segment, partially offset by a $76.4 million, or 20%, increase in the Wizards of the Coast and Digital Gaming segment. See the Segment Results discussion below for further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portfolio category for the three months ended June 30, 2024 and July 2,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40" w:type="dxa"/>
            <w:vAlign w:val="bottom"/>
            <w:tcBorders>
              <w:bottom w:val="single" w:sz="8" w:color="auto"/>
            </w:tcBorders>
          </w:tcPr>
          <w:p>
            <w:pPr>
              <w:spacing w:after="0"/>
              <w:rPr>
                <w:sz w:val="18"/>
                <w:szCs w:val="18"/>
                <w:color w:val="auto"/>
              </w:rPr>
            </w:pPr>
          </w:p>
        </w:tc>
      </w:tr>
      <w:tr>
        <w:trPr>
          <w:trHeight w:val="158"/>
        </w:trPr>
        <w:tc>
          <w:tcPr>
            <w:tcW w:w="6300" w:type="dxa"/>
            <w:vAlign w:val="bottom"/>
          </w:tcPr>
          <w:p>
            <w:pPr>
              <w:spacing w:after="0"/>
              <w:rPr>
                <w:sz w:val="13"/>
                <w:szCs w:val="13"/>
                <w:color w:val="auto"/>
              </w:rPr>
            </w:pPr>
          </w:p>
        </w:tc>
        <w:tc>
          <w:tcPr>
            <w:tcW w:w="10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Non-Hasbro Branded Film &amp; TV (1)</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right="240" w:firstLine="8"/>
        <w:spacing w:after="0"/>
        <w:tabs>
          <w:tab w:leader="none" w:pos="132" w:val="left"/>
        </w:tabs>
        <w:numPr>
          <w:ilvl w:val="0"/>
          <w:numId w:val="29"/>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2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decreased $1.8 million in the second quarter of 2024, compared to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quarter of 2023. The net revenue decrease primarily reflects lower net revenues from NERF and TRANSFORMERS products. Net revenues from TRANSFORMERS products in the second quarter of 2023 were supported by the June 2023 theatrical release of TRANSFORMERS: Rise of the Beasts. The lower net revenues from NERF and TRANSFORMERS products were partially offset by higher net revenues from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along with MAGIC: THE GATHERING products, primarily due to strong demand for </w:t>
      </w:r>
      <w:r>
        <w:rPr>
          <w:rFonts w:ascii="Times New Roman" w:cs="Times New Roman" w:eastAsia="Times New Roman" w:hAnsi="Times New Roman"/>
          <w:sz w:val="18"/>
          <w:szCs w:val="18"/>
          <w:i w:val="1"/>
          <w:iCs w:val="1"/>
          <w:color w:val="auto"/>
        </w:rPr>
        <w:t>Modern Horizons 3</w:t>
      </w:r>
      <w:r>
        <w:rPr>
          <w:rFonts w:ascii="Times New Roman" w:cs="Times New Roman" w:eastAsia="Times New Roman" w:hAnsi="Times New Roman"/>
          <w:sz w:val="18"/>
          <w:szCs w:val="18"/>
          <w:color w:val="auto"/>
        </w:rPr>
        <w:t xml:space="preserve"> and strong early interest for </w:t>
      </w:r>
      <w:r>
        <w:rPr>
          <w:rFonts w:ascii="Times New Roman" w:cs="Times New Roman" w:eastAsia="Times New Roman" w:hAnsi="Times New Roman"/>
          <w:sz w:val="18"/>
          <w:szCs w:val="18"/>
          <w:i w:val="1"/>
          <w:iCs w:val="1"/>
          <w:color w:val="auto"/>
        </w:rPr>
        <w:t>Bloomburrow</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decreased $48.3 million, or 28%, in the second quarter of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of 2023.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21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2024, Partner Brands net revenue decreases were driven by lower net revenues from the Company's products for STAR WARS and MARVEL which benefited from a broader slate of entertainment releases in prior years without a more recent entertainment release to support revenue in the second quarter of 2024. Additionally, revenue in the second quarter of 2023 was higher due to the Company's products for INDIANA JONES supported by the June 2023 theatrical release of </w:t>
      </w:r>
      <w:r>
        <w:rPr>
          <w:rFonts w:ascii="Times New Roman" w:cs="Times New Roman" w:eastAsia="Times New Roman" w:hAnsi="Times New Roman"/>
          <w:sz w:val="18"/>
          <w:szCs w:val="18"/>
          <w:i w:val="1"/>
          <w:iCs w:val="1"/>
          <w:color w:val="auto"/>
        </w:rPr>
        <w:t>Indiana Jones and the Dial of Destiny</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PORTFOLIO BRANDS: </w:t>
      </w:r>
      <w:r>
        <w:rPr>
          <w:rFonts w:ascii="Times New Roman" w:cs="Times New Roman" w:eastAsia="Times New Roman" w:hAnsi="Times New Roman"/>
          <w:sz w:val="18"/>
          <w:szCs w:val="18"/>
          <w:color w:val="auto"/>
        </w:rPr>
        <w:t>Portfolio Brands net revenues decreased $23.8 million, or 22%, in the second quarter of 2024 compared to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Lower net revenues from POWER RANGERS, BABY ALIVE, and PJ MASKS products were partially offset by revenue contributions from FURBY products following the Company's reintroduction of the brand and refreshed product line during the second quarter of 2023, along with revenue contributions from GI JOE products.</w:t>
      </w:r>
    </w:p>
    <w:p>
      <w:pPr>
        <w:spacing w:after="0" w:line="20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i w:val="1"/>
          <w:iCs w:val="1"/>
          <w:color w:val="auto"/>
        </w:rPr>
        <w:t>NON-HASBRO BRANDED FILM &amp; TV</w:t>
      </w:r>
      <w:r>
        <w:rPr>
          <w:rFonts w:ascii="Times New Roman" w:cs="Times New Roman" w:eastAsia="Times New Roman" w:hAnsi="Times New Roman"/>
          <w:sz w:val="18"/>
          <w:szCs w:val="18"/>
          <w:color w:val="auto"/>
        </w:rPr>
        <w:t>: Net revenues from Non-Hasbro Branded Film &amp; TV decreased $140.8 million in the second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second quarter of 2023. Net revenues from the Company's Non-Hasbro-branded Film and TV portfolio were associated with the eOne Film and TV business sold during the fourth quarter of 2023. Effective in the first quarter of 2024, the Company moved the remaining Non-Hasbro Branded Film &amp; TV brands into Portfolio Brands to align with the Company's Brand Strategy. For comparability, net revenues for three months ended July 2, 2023, has been reclassified to reflect the movement, resulting in a change of $0.8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25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sales - </w:t>
      </w:r>
      <w:r>
        <w:rPr>
          <w:rFonts w:ascii="Times New Roman" w:cs="Times New Roman" w:eastAsia="Times New Roman" w:hAnsi="Times New Roman"/>
          <w:sz w:val="18"/>
          <w:szCs w:val="18"/>
          <w:color w:val="auto"/>
        </w:rPr>
        <w:t>Cost of sales for the second quarter of 2024 was $237.7 million, or 23.9% of net revenues, compared to $352.2 million, or 29.1%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second quarter of 2023. The Cost of sales decrease in dollars was driven primarily by lower sales volumes, cost savings from the Company's Operational Excellence Program, and a non-recurring $26.7 million benefit related to a historical over-accrual of vendor commitment liabilities as discussed in Note 1 to the consolidated financial statements.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Program cost amortization - </w:t>
      </w:r>
      <w:r>
        <w:rPr>
          <w:rFonts w:ascii="Times New Roman" w:cs="Times New Roman" w:eastAsia="Times New Roman" w:hAnsi="Times New Roman"/>
          <w:sz w:val="18"/>
          <w:szCs w:val="18"/>
          <w:color w:val="auto"/>
        </w:rPr>
        <w:t>Program cost amortization decreased to $8.5 million, or 0.9% of net revenues, for the second quarter of 2024 from $134.4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11.1% of net revenues, for the second quarter of 2023. Program costs are capitalized as incurred and amortized primarily using the individual-film-forecast method which matches costs to the related recognized revenue. The decrease in dollars and as a percent of net revenues during the second quarter of 2024 was driven by the impact of the sale of the eOne Film and TV business during the fourth quarter of 2023 as prior year Program costs were primarily associated with the eOne Film and TV business.</w:t>
      </w:r>
    </w:p>
    <w:p>
      <w:pPr>
        <w:spacing w:after="0" w:line="2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Royalties - </w:t>
      </w:r>
      <w:r>
        <w:rPr>
          <w:rFonts w:ascii="Times New Roman" w:cs="Times New Roman" w:eastAsia="Times New Roman" w:hAnsi="Times New Roman"/>
          <w:sz w:val="18"/>
          <w:szCs w:val="18"/>
          <w:color w:val="auto"/>
        </w:rPr>
        <w:t>Royalty expense for the second quarter of 2024 decreased to $55.3 million, or 5.6% of net revenues, compared to $119.9 million, or 9.9%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second quarter of 2023. Fluctuations in Royalty expense are generally related to the volume of content releases and deliveries and entertainment-driven products sold. The decrease in Royalty expense in dollars and as a percent of net revenues during the second quarter of 2024 directly reflects the impact of the sale of the eOne Film and TV business.</w:t>
      </w:r>
    </w:p>
    <w:p>
      <w:pPr>
        <w:spacing w:after="0" w:line="20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Product development - </w:t>
      </w:r>
      <w:r>
        <w:rPr>
          <w:rFonts w:ascii="Times New Roman" w:cs="Times New Roman" w:eastAsia="Times New Roman" w:hAnsi="Times New Roman"/>
          <w:sz w:val="18"/>
          <w:szCs w:val="18"/>
          <w:color w:val="auto"/>
        </w:rPr>
        <w:t>Product development expense for the second quarter of 2024 was $70.4 million, or 7.1% of net revenues, compared to $72.4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6.0% of net revenues, for the second quarter of 2023. The decrease in Product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1" w:name="page32"/>
    <w:bookmarkEnd w:id="31"/>
    <w:p>
      <w:pPr>
        <w:ind w:right="420"/>
        <w:spacing w:after="0" w:line="282" w:lineRule="auto"/>
        <w:rPr>
          <w:sz w:val="20"/>
          <w:szCs w:val="20"/>
          <w:color w:val="auto"/>
        </w:rPr>
      </w:pPr>
      <w:r>
        <w:rPr>
          <w:rFonts w:ascii="Times New Roman" w:cs="Times New Roman" w:eastAsia="Times New Roman" w:hAnsi="Times New Roman"/>
          <w:sz w:val="18"/>
          <w:szCs w:val="18"/>
          <w:color w:val="auto"/>
        </w:rPr>
        <w:t>development expense during the second quarter of 2024 was driven by the Company's Operational Excellence Program along with phasing of product releases.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 </w:t>
      </w:r>
      <w:r>
        <w:rPr>
          <w:rFonts w:ascii="Times New Roman" w:cs="Times New Roman" w:eastAsia="Times New Roman" w:hAnsi="Times New Roman"/>
          <w:sz w:val="18"/>
          <w:szCs w:val="18"/>
          <w:color w:val="auto"/>
        </w:rPr>
        <w:t>Advertising expense for the second quarter of 2024 was $60.4 million, or 6.1% of net revenues, compared to $85.1 million, or 7.0%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second quarter of 2023. The Advertising expense decrease during the second quarter of 2024 was primarily driven by the sale of the eOne Film and TV business, along with declines in advertising expense in the Consumer Products segment associated with lower net revenues.</w:t>
      </w:r>
    </w:p>
    <w:p>
      <w:pPr>
        <w:spacing w:after="0" w:line="19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 </w:t>
      </w:r>
      <w:r>
        <w:rPr>
          <w:rFonts w:ascii="Times New Roman" w:cs="Times New Roman" w:eastAsia="Times New Roman" w:hAnsi="Times New Roman"/>
          <w:sz w:val="18"/>
          <w:szCs w:val="18"/>
          <w:color w:val="auto"/>
        </w:rPr>
        <w:t>Amortization of intangible assets decreased to $17.1 million, or 1.7% of net revenues, for the second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$22.8 million, or 1.9% of net revenues, for the second quarter of 2023. The decrease in 2024 reflects lower definite lived intangible assets due to the sale of the eOne Film and TV business and impairments taken in 2023. See further detail of impairments taken in 2023 in Note 6 of the 2023 Annual Report.</w:t>
      </w:r>
    </w:p>
    <w:p>
      <w:pPr>
        <w:spacing w:after="0" w:line="20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 </w:t>
      </w:r>
      <w:r>
        <w:rPr>
          <w:rFonts w:ascii="Times New Roman" w:cs="Times New Roman" w:eastAsia="Times New Roman" w:hAnsi="Times New Roman"/>
          <w:sz w:val="18"/>
          <w:szCs w:val="18"/>
          <w:color w:val="auto"/>
        </w:rPr>
        <w:t>There were no goodwill impairment charges in the second quarter of 2024. During the second quarter of 2023,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$231.2 million of goodwill impairment charges associated with goodwill assigned to the Company's Film and TV reporting unit. See further details in the 2023 Annual Report.</w:t>
      </w:r>
    </w:p>
    <w:p>
      <w:pPr>
        <w:spacing w:after="0" w:line="19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distribution and administration - </w:t>
      </w:r>
      <w:r>
        <w:rPr>
          <w:rFonts w:ascii="Times New Roman" w:cs="Times New Roman" w:eastAsia="Times New Roman" w:hAnsi="Times New Roman"/>
          <w:sz w:val="18"/>
          <w:szCs w:val="18"/>
          <w:color w:val="auto"/>
        </w:rPr>
        <w:t>Selling, distribution and administration expenses decreased to $318.5 million, or 32.0% of net revenues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2024, from $380.6 million, or 31.5% of net revenues, for the second quarter of 2023. The decrease in Selling, distribution and administration expenses during the second quarter of 2024 primarily reflects lower administrative expenses due to cost savings from the Company's Operational Excellence Program and a prior year intangible asset impairment charge of $65.0 million related to the Company's eOne trademark intangible asset, partially offset by a non-recurring $31.1 million expense related to historical environmental exposures as discussed in Note 1 to the consolidated financial statements.</w:t>
      </w:r>
    </w:p>
    <w:p>
      <w:pPr>
        <w:spacing w:after="0" w:line="20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(Loss) - </w:t>
      </w:r>
      <w:r>
        <w:rPr>
          <w:rFonts w:ascii="Times New Roman" w:cs="Times New Roman" w:eastAsia="Times New Roman" w:hAnsi="Times New Roman"/>
          <w:sz w:val="18"/>
          <w:szCs w:val="18"/>
          <w:color w:val="auto"/>
        </w:rPr>
        <w:t>The operating profit for the second quarter of 2024 was $212.1 million, or 21.3% of net revenues, compared to an operating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$188.6 million, or 15.6% of net revenues, for the second quarter of 2023 driven by the factors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25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expense - </w:t>
      </w:r>
      <w:r>
        <w:rPr>
          <w:rFonts w:ascii="Times New Roman" w:cs="Times New Roman" w:eastAsia="Times New Roman" w:hAnsi="Times New Roman"/>
          <w:sz w:val="18"/>
          <w:szCs w:val="18"/>
          <w:color w:val="auto"/>
        </w:rPr>
        <w:t>Interest expense for the second quarter of 2024 totaled $43.0 million compared to $46.6 million in the second quarter of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Interest expense for the second quarter of 2024 primarily reflects lower average outstanding borrowings in the second quarter of 2024 as compared to second quarter of 2023 due to the assumption of the production financing borrowings by Lionsgate as part of the eOne Film and TV business and due to the retirement of the Company's variable-rate Five-Year term loan using proceeds from the sale of the eOne Film and TV business, both occurring during the fourth quarter of 2023, partially offset by the issuance of the 2034 Notes (see Liquidity and Capital Resources discussion below for further information including description of the 2034 Notes).</w:t>
      </w:r>
    </w:p>
    <w:p>
      <w:pPr>
        <w:spacing w:after="0" w:line="20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income - </w:t>
      </w:r>
      <w:r>
        <w:rPr>
          <w:rFonts w:ascii="Times New Roman" w:cs="Times New Roman" w:eastAsia="Times New Roman" w:hAnsi="Times New Roman"/>
          <w:sz w:val="18"/>
          <w:szCs w:val="18"/>
          <w:color w:val="auto"/>
        </w:rPr>
        <w:t>Interest income was $13.0 million for the second quarter of 2024, compared to $5.8 million in the second quarter of 2023.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in 2024 primarily reflects higher average interest rates in 2024 compared to 2023, along with the Company's investment in short-term treasury bills in connection with the issuance of the 2034 Notes (see Liquidity and Capital Resources discussion below for further information including description of the 2034 Notes).</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net - </w:t>
      </w:r>
      <w:r>
        <w:rPr>
          <w:rFonts w:ascii="Times New Roman" w:cs="Times New Roman" w:eastAsia="Times New Roman" w:hAnsi="Times New Roman"/>
          <w:sz w:val="18"/>
          <w:szCs w:val="18"/>
          <w:color w:val="auto"/>
        </w:rPr>
        <w:t>Other income, net was $0.8 million for the second quarter of 2024, compared to Other income, net of $1.5 million in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The change in Other income, net during 2024 was driven primarily by an increase in foreign currency exchange losses the second quarter of 2024 as compared to the second quarter of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Income tax expense totaled $44.4 million on pre-tax income of $182.9 million in the second quarter of 2024 compared to income tax expense of $7.0 million on pre-tax loss of $227.9 million in the second quarter of 2023. Both periods were impacted by discrete tax events including the accrual of potential interest and penalties on uncertain tax positions. During the second quarter of 2024, the Company recorded a $15.3 million unfavorable adjustment to the 2023 Loss on Sale of the Film &amp; TV reporting unit with no corresponding tax benefit. The second quarter of 2023 includes an impairment of goodwill related to the Film &amp; TV reporting unit of $231.2 million with no tax benefit. During the second quarter of 2024, exclusive of the Loss on Sale adjustment, the Company recorded favorable net discrete tax adjustments of $1.1 million compared to a net benefit exclusive of the goodwill impairment of $12.2 million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ind w:right="80"/>
        <w:spacing w:after="0" w:line="256" w:lineRule="auto"/>
        <w:rPr>
          <w:sz w:val="20"/>
          <w:szCs w:val="20"/>
          <w:color w:val="auto"/>
        </w:rPr>
      </w:pPr>
      <w:r>
        <w:rPr>
          <w:rFonts w:ascii="Times New Roman" w:cs="Times New Roman" w:eastAsia="Times New Roman" w:hAnsi="Times New Roman"/>
          <w:sz w:val="18"/>
          <w:szCs w:val="18"/>
          <w:color w:val="auto"/>
        </w:rPr>
        <w:t>The favorable net discrete tax adjustments for the second quarter of 2024 are primarily associated with the release of various uncertain tax positions. The favorable net discrete tax adjustments for the second quarter of 2023 are primarily associated with a tax benefit on the impairment of trade names in Entertainment segment, offset by stock-based compensation and activity related to uncertain tax positions, primarily interest accruals. Absent discrete items, the tax rates for the second quarter of 2024 and 2023 were 22.9% and 28.2%, respectively. The decrease in the base rate of 22.9% for the second quarter of 2024, relative to the second quarter of 2023, is primarily due to the mix of jurisdictions where the Company earned its profits combined with the phasing of the Company's income earned throughout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for the Company's reportable segments for the three months ended June 30, 2024 and July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4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0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57"/>
        </w:trPr>
        <w:tc>
          <w:tcPr>
            <w:tcW w:w="20" w:type="dxa"/>
            <w:vAlign w:val="bottom"/>
            <w:shd w:val="clear" w:color="auto" w:fill="CCEEFF"/>
          </w:tcPr>
          <w:p>
            <w:pPr>
              <w:spacing w:after="0"/>
              <w:rPr>
                <w:sz w:val="13"/>
                <w:szCs w:val="13"/>
                <w:color w:val="auto"/>
              </w:rPr>
            </w:pPr>
          </w:p>
        </w:tc>
        <w:tc>
          <w:tcPr>
            <w:tcW w:w="62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Net revenues:</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524.5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3"/>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profit (loss):</w:t>
            </w:r>
          </w:p>
        </w:tc>
        <w:tc>
          <w:tcPr>
            <w:tcW w:w="47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2"/>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Operating profit (loss)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 Products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three months ended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r>
      <w:tr>
        <w:trPr>
          <w:trHeight w:val="159"/>
        </w:trPr>
        <w:tc>
          <w:tcPr>
            <w:tcW w:w="80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r>
      <w:tr>
        <w:trPr>
          <w:trHeight w:val="214"/>
        </w:trPr>
        <w:tc>
          <w:tcPr>
            <w:tcW w:w="8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306.1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524.5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Consumer Products segment net revenues decreased 20% to $524.5 million for the second quarter of 2024 compared to $655.2 million for the second quarter of 2023 primarily driven by broader industry trends, exited businesses, including out-licensing certain brands, shifts in product mix, and reduced closeout sales as a result of last year's inventory clean up initiatives.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net revenue decrease primarily reflects lower net revenues from NERF, TRANSFORMERS, MARVEL and STAR WARS products. Net revenues from TRANSFORMERS products in the second quarter of 2023 were supported by the June 2023 theatrical release of TRANSFORMERS: Rise of the Beasts. The net revenue decrease was driven by lower net revenues from the Company's products for STAR WARS and MARVEL which benefited from a robust slate of entertainment releases in prior years without a more recent release entertainment release to support revenue in the second quarter of 2024.</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Consumer Products segment operating loss for the second quarter of 2024 was $9.3 million or 1.8% of segment net revenues, compared to a segment operating profit of $11.4 million or 1.7% of segment net revenues, for the second quarter of 2023. The decrease in operating profit in the second quarter of 2024 was driven by lower net revenue, partially offset by savings realized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right="40"/>
        <w:spacing w:after="0" w:line="282" w:lineRule="auto"/>
        <w:rPr>
          <w:sz w:val="20"/>
          <w:szCs w:val="20"/>
          <w:color w:val="auto"/>
        </w:rPr>
      </w:pPr>
      <w:r>
        <w:rPr>
          <w:rFonts w:ascii="Times New Roman" w:cs="Times New Roman" w:eastAsia="Times New Roman" w:hAnsi="Times New Roman"/>
          <w:sz w:val="18"/>
          <w:szCs w:val="18"/>
          <w:color w:val="auto"/>
        </w:rPr>
        <w:t>from the Company's Operational Excellence program, lower royalty expenses reflecting the mix of products sold, lower advertising and promotion expense and lower freight costs, associated with the lower sales volumes.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Wizards of the Coast and Digital Gaming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three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r>
      <w:tr>
        <w:trPr>
          <w:trHeight w:val="214"/>
        </w:trPr>
        <w:tc>
          <w:tcPr>
            <w:tcW w:w="8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144.4</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452.0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net revenues increased 20.3% in the second quarter of 2024 to $452.0 million from $375.6 million in the second quarter of 2023. The net revenue increase in the Wizards of the Coast and Digital Gaming segment during the second quarter of 2024 was primarily attributable to revenue contributions from higher digital licensing of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the DUNGEONS &amp; DRAGONS-based role-playing video game released during the third quarter 2023, and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Tabletop Gaming revenue increased 3.0% behind growth in MAGIC: THE GATHERING primarily due to strong demand for </w:t>
      </w:r>
      <w:r>
        <w:rPr>
          <w:rFonts w:ascii="Times New Roman" w:cs="Times New Roman" w:eastAsia="Times New Roman" w:hAnsi="Times New Roman"/>
          <w:sz w:val="18"/>
          <w:szCs w:val="18"/>
          <w:i w:val="1"/>
          <w:iCs w:val="1"/>
          <w:color w:val="auto"/>
        </w:rPr>
        <w:t>Modern Horizons 3</w:t>
      </w:r>
      <w:r>
        <w:rPr>
          <w:rFonts w:ascii="Times New Roman" w:cs="Times New Roman" w:eastAsia="Times New Roman" w:hAnsi="Times New Roman"/>
          <w:sz w:val="18"/>
          <w:szCs w:val="18"/>
          <w:color w:val="auto"/>
        </w:rPr>
        <w:t xml:space="preserve"> and strong early interest for </w:t>
      </w:r>
      <w:r>
        <w:rPr>
          <w:rFonts w:ascii="Times New Roman" w:cs="Times New Roman" w:eastAsia="Times New Roman" w:hAnsi="Times New Roman"/>
          <w:sz w:val="18"/>
          <w:szCs w:val="18"/>
          <w:i w:val="1"/>
          <w:iCs w:val="1"/>
          <w:color w:val="auto"/>
        </w:rPr>
        <w:t>Bloomburrow</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Wizards of the Coast and Digital Gaming segment operating profit was $247.1 million, or 54.7% of segment net revenues for the second quarter of 2024, compared to operating profit of $142.3 million, or 37.9% of segment net revenues, for the second quarter of 2023. The operating profit increase during the second quarter of 2024 was driven by increased net revenues, contributions from higher digital licensing revenue mix, lower royalty expense, and cost savings initiatives.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Entertainment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three months ended June 30, 2024 and 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r>
      <w:tr>
        <w:trPr>
          <w:trHeight w:val="214"/>
        </w:trPr>
        <w:tc>
          <w:tcPr>
            <w:tcW w:w="80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Film and TV</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Entertainment segment net revenues decreased 90% to $18.8 million for the second quarter of 2024, compared to $179.2 million for the second quarter of 2023. The net revenue decrease in the Entertainment segment during the second quarter of 2024 was driven by lower net revenues as a result of the sale of the eOne Film and TV business during the fourth quarter of 2023.</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Entertainment segment operating loss was $1.0 million, or 5.3% of segment net revenues for the second quarter of 2024, compared to an operating loss of $324.2 million, or 181% of segment net revenues for the second quarter of 2023. The increase in Entertainment segment operating results during the second quarter of 2024 was driven by a non-cash goodwill impairment charge of $231.2 million and intangible asset impairment charges of $65.0 million recorded during the second quarter of 2023, associated with the impairment review of the Company's Film and TV reporting unit.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Corporate and Other operating loss was $24.7 million for the second quarter of 2024 compared to an operating loss of $18.1 million for the second quarter of 2023. The increase in operating loss in the second quarter of 2024 as compared to the second quarter of 2023 primarily reflects the net impact of the two prior period non-recurring adjustments recorded during the second quarter of 2024. Refer to Note 1 to the consolidated financial statements for further information on the two non-recurring adjustments.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consolidated results of operations for the six months ended June 30, 2024 and 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284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July 2, 2023</w:t>
            </w:r>
          </w:p>
        </w:tc>
      </w:tr>
      <w:tr>
        <w:trPr>
          <w:trHeight w:val="209"/>
        </w:trPr>
        <w:tc>
          <w:tcPr>
            <w:tcW w:w="49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of Net Revenues</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of Net Revenues</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production cost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207"/>
        </w:trPr>
        <w:tc>
          <w:tcPr>
            <w:tcW w:w="49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1,424.3</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81.3 %</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2,381.7</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107.7 %</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49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2"/>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5"/>
        </w:trPr>
        <w:tc>
          <w:tcPr>
            <w:tcW w:w="4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revenues - </w:t>
      </w:r>
      <w:r>
        <w:rPr>
          <w:rFonts w:ascii="Times New Roman" w:cs="Times New Roman" w:eastAsia="Times New Roman" w:hAnsi="Times New Roman"/>
          <w:sz w:val="18"/>
          <w:szCs w:val="18"/>
          <w:color w:val="auto"/>
        </w:rPr>
        <w:t>Net revenues for the first six months of 2024 decreased 21% to $1,752.6 million from $2,211.0 million for the first six months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driven by a $317.8 million, or 87%, decline in the Entertainment segment and a $238.1 million, or 20%, decline in the Consumer Products segment, partially offset by a $97.5 million, or 15%, increase in the Wizards of the Coast and Digital Gaming segment. See the Segment Results discussion below for further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portfolio category for the six months ended June 30, 2024 and July 2,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40" w:type="dxa"/>
            <w:vAlign w:val="bottom"/>
            <w:tcBorders>
              <w:bottom w:val="single" w:sz="8" w:color="auto"/>
            </w:tcBorders>
          </w:tcPr>
          <w:p>
            <w:pPr>
              <w:spacing w:after="0"/>
              <w:rPr>
                <w:sz w:val="18"/>
                <w:szCs w:val="18"/>
                <w:color w:val="auto"/>
              </w:rPr>
            </w:pPr>
          </w:p>
        </w:tc>
      </w:tr>
      <w:tr>
        <w:trPr>
          <w:trHeight w:val="158"/>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3"/>
                <w:szCs w:val="13"/>
                <w:color w:val="auto"/>
              </w:rPr>
            </w:pPr>
          </w:p>
        </w:tc>
        <w:tc>
          <w:tcPr>
            <w:tcW w:w="1480" w:type="dxa"/>
            <w:vAlign w:val="bottom"/>
            <w:gridSpan w:val="2"/>
          </w:tcPr>
          <w:p>
            <w:pPr>
              <w:ind w:left="380"/>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Non-Hasbro Branded Film &amp; TV (1)</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ind w:right="200" w:firstLine="8"/>
        <w:spacing w:after="0"/>
        <w:tabs>
          <w:tab w:leader="none" w:pos="132" w:val="left"/>
        </w:tabs>
        <w:numPr>
          <w:ilvl w:val="0"/>
          <w:numId w:val="30"/>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decreased $8.7 million in the first six months of 2024, compared to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months of 2023. The net revenue decrease primarily reflects lower net revenues from NERF and TRANSFORMERS products. Net revenues from TRANSFORMERS products in the first six months of 2023 were supported by the June 2023 theatrical release of TRANSFORMERSs: Rise of the Beasts. The lower net revenues from NERF and TRANSFORMERS products were partially offset by higher net revenues from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along with MAGIC: THE GATHERING products, primarily due to strong demand for </w:t>
      </w:r>
      <w:r>
        <w:rPr>
          <w:rFonts w:ascii="Times New Roman" w:cs="Times New Roman" w:eastAsia="Times New Roman" w:hAnsi="Times New Roman"/>
          <w:sz w:val="18"/>
          <w:szCs w:val="18"/>
          <w:i w:val="1"/>
          <w:iCs w:val="1"/>
          <w:color w:val="auto"/>
        </w:rPr>
        <w:t>Modern Horizons 3</w:t>
      </w:r>
      <w:r>
        <w:rPr>
          <w:rFonts w:ascii="Times New Roman" w:cs="Times New Roman" w:eastAsia="Times New Roman" w:hAnsi="Times New Roman"/>
          <w:sz w:val="18"/>
          <w:szCs w:val="18"/>
          <w:color w:val="auto"/>
        </w:rPr>
        <w:t xml:space="preserve"> and strong early interest for </w:t>
      </w:r>
      <w:r>
        <w:rPr>
          <w:rFonts w:ascii="Times New Roman" w:cs="Times New Roman" w:eastAsia="Times New Roman" w:hAnsi="Times New Roman"/>
          <w:sz w:val="18"/>
          <w:szCs w:val="18"/>
          <w:i w:val="1"/>
          <w:iCs w:val="1"/>
          <w:color w:val="auto"/>
        </w:rPr>
        <w:t>Bloomburrow</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decreased $93.3 million, or 31%, in the first six months of 2024,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six months of 2023. During the first six months of 2024, Partner Brands net revenue decreases were driven by lower net revenues from the Company's products for STAR WARS and MARVEL which benefited from a broader slate of entertainment releases in prior years without a more recent release entertainment release to support revenue in the first six months of 2024. Additionally, revenue in the first six months of 2023 was higher due to the Company's products for INDIANA JONES supported by the June 2023 theatrical release of </w:t>
      </w:r>
      <w:r>
        <w:rPr>
          <w:rFonts w:ascii="Times New Roman" w:cs="Times New Roman" w:eastAsia="Times New Roman" w:hAnsi="Times New Roman"/>
          <w:sz w:val="18"/>
          <w:szCs w:val="18"/>
          <w:i w:val="1"/>
          <w:iCs w:val="1"/>
          <w:color w:val="auto"/>
        </w:rPr>
        <w:t>Indiana Jones and the Dial of Destiny</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PORTFOLIO BRANDS: </w:t>
      </w:r>
      <w:r>
        <w:rPr>
          <w:rFonts w:ascii="Times New Roman" w:cs="Times New Roman" w:eastAsia="Times New Roman" w:hAnsi="Times New Roman"/>
          <w:sz w:val="18"/>
          <w:szCs w:val="18"/>
          <w:color w:val="auto"/>
        </w:rPr>
        <w:t>Portfolio Brands net revenues decreased $52.8 million, or 26%, in the first six months of 2024 compared to the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Lower net revenues from POWER RANGERS, MY LITTLE PONY, and PJ MASKS products were partially offset by revenue contributions from FURBY products following the Company's reintroduction of the brand and refreshed product line during the second quarter of 2023.</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NON-HASBRO BRANDED FILM &amp; TV</w:t>
      </w:r>
      <w:r>
        <w:rPr>
          <w:rFonts w:ascii="Times New Roman" w:cs="Times New Roman" w:eastAsia="Times New Roman" w:hAnsi="Times New Roman"/>
          <w:sz w:val="18"/>
          <w:szCs w:val="18"/>
          <w:color w:val="auto"/>
        </w:rPr>
        <w:t>: Net revenues from Non-Hasbro Branded Film &amp; TV decreased $303.6 million in the first six months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first six months of 2023. Net revenues from the Company's Non-Hasbro-branded Film and TV portfolio were associated with the eOne Film and TV business sold during the fourth quarter of 2023. Effective in the first quarter of 2024, the Company moved the remaining Non-Hasbro Branded Film &amp; TV brands into Portfolio Brands to align with the Company's Brand Strategy. For comparability, net revenues for six months ended July 2, 2023, has been reclassified to reflect the movement, resulting in a change of $0.9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25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sales - </w:t>
      </w:r>
      <w:r>
        <w:rPr>
          <w:rFonts w:ascii="Times New Roman" w:cs="Times New Roman" w:eastAsia="Times New Roman" w:hAnsi="Times New Roman"/>
          <w:sz w:val="18"/>
          <w:szCs w:val="18"/>
          <w:color w:val="auto"/>
        </w:rPr>
        <w:t>Cost of sales for the first six months of 2024 was $441.9 million, or 25.2% of net revenues, compared to $637.5 million, or 28.8%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first six months of 2023. The Cost of sales decrease in dollars was driven primarily by lower sales volumes, cost savings from the Company's Operational Excellence Program, and a non-recurring $26.7 million benefit related to a historical over-accrual of vendor commitment liabilities as discussed in Note 1 to the consolidated financial statements.</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Program cost amortization - </w:t>
      </w:r>
      <w:r>
        <w:rPr>
          <w:rFonts w:ascii="Times New Roman" w:cs="Times New Roman" w:eastAsia="Times New Roman" w:hAnsi="Times New Roman"/>
          <w:sz w:val="18"/>
          <w:szCs w:val="18"/>
          <w:color w:val="auto"/>
        </w:rPr>
        <w:t>Program cost amortization decreased to $16.6 million, or 0.9% of net revenues, for the first six months of 2024 from $256.9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11.6% of net revenues, for the first six months of 2023. The decrease in dollars and as a percent of net revenues during the first six months of 2024 was driven by the impact of the sale of the eOne Film and TV business during the fourth quarter of 2023 as prior year Program costs were primarily associated with the eOne Film and TV business.</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Royalties - </w:t>
      </w:r>
      <w:r>
        <w:rPr>
          <w:rFonts w:ascii="Times New Roman" w:cs="Times New Roman" w:eastAsia="Times New Roman" w:hAnsi="Times New Roman"/>
          <w:sz w:val="18"/>
          <w:szCs w:val="18"/>
          <w:color w:val="auto"/>
        </w:rPr>
        <w:t>Royalty expense for the first six months of 2024 decreased to $106.2 million, or 6.1% of net revenues, compared to $188.9 million, or 8.5%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revenues, for the first six months of 2023. The decrease in Royalty expense in dollars and as a percent of net revenues during the first six months of 2024 directly reflects the impact of the sale of the eOne Film and TV business.</w:t>
      </w:r>
    </w:p>
    <w:p>
      <w:pPr>
        <w:spacing w:after="0" w:line="19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development - </w:t>
      </w:r>
      <w:r>
        <w:rPr>
          <w:rFonts w:ascii="Times New Roman" w:cs="Times New Roman" w:eastAsia="Times New Roman" w:hAnsi="Times New Roman"/>
          <w:sz w:val="18"/>
          <w:szCs w:val="18"/>
          <w:color w:val="auto"/>
        </w:rPr>
        <w:t>Product development expense for the first six months of 2024 was $135.9 million, or 7.8% of net revenues, compared to $155.7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7.0% of net revenues, for the first six months of 2023. The decrease in Product development expense during the first six months of 2024 was driven by the Company's Operational Excellence Program along with phasing of product releases.</w:t>
      </w:r>
    </w:p>
    <w:p>
      <w:pPr>
        <w:spacing w:after="0" w:line="19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 </w:t>
      </w:r>
      <w:r>
        <w:rPr>
          <w:rFonts w:ascii="Times New Roman" w:cs="Times New Roman" w:eastAsia="Times New Roman" w:hAnsi="Times New Roman"/>
          <w:sz w:val="18"/>
          <w:szCs w:val="18"/>
          <w:color w:val="auto"/>
        </w:rPr>
        <w:t>Advertising expense for the first six months of 2024 was $111.9 million, or 6.4% of net revenues, compared to $167.9 million, or 7.6%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revenues, for the first six months of 2023. The Advertising expense decrease during the first six months of 2024 was primarily driven by the sale of the eOne Film and TV business, along with declines in the advertising expense in the Consumer Products segment due to lower net revenues.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36" w:name="page37"/>
    <w:bookmarkEnd w:id="36"/>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 </w:t>
      </w:r>
      <w:r>
        <w:rPr>
          <w:rFonts w:ascii="Times New Roman" w:cs="Times New Roman" w:eastAsia="Times New Roman" w:hAnsi="Times New Roman"/>
          <w:sz w:val="18"/>
          <w:szCs w:val="18"/>
          <w:color w:val="auto"/>
        </w:rPr>
        <w:t>Amortization of intangible assets decreased to $34.1 million, or 1.9% of net revenues, for the first six months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$45.9 million, or 2.1% of net revenues, for the first six months of 2023. The decrease in 2024 reflects lower definite lived intangible assets due to the sale of the eOne Film and TV business and impairments taken in 2023. See further detail of impairments taken in 2023 in Note 6 of the 2023 Annual Report.</w:t>
      </w:r>
    </w:p>
    <w:p>
      <w:pPr>
        <w:spacing w:after="0" w:line="19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 </w:t>
      </w:r>
      <w:r>
        <w:rPr>
          <w:rFonts w:ascii="Times New Roman" w:cs="Times New Roman" w:eastAsia="Times New Roman" w:hAnsi="Times New Roman"/>
          <w:sz w:val="18"/>
          <w:szCs w:val="18"/>
          <w:color w:val="auto"/>
        </w:rPr>
        <w:t>There were no goodwill impairment charges during the first six months of 2024. During the first six months of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recorded $231.2 million of goodwill impairment charges associated with goodwill assigned to the Company's Film and TV reporting unit. See further details in the 2023 Annual Report.</w:t>
      </w:r>
    </w:p>
    <w:p>
      <w:pPr>
        <w:spacing w:after="0" w:line="2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distribution and administration - </w:t>
      </w:r>
      <w:r>
        <w:rPr>
          <w:rFonts w:ascii="Times New Roman" w:cs="Times New Roman" w:eastAsia="Times New Roman" w:hAnsi="Times New Roman"/>
          <w:sz w:val="18"/>
          <w:szCs w:val="18"/>
          <w:color w:val="auto"/>
        </w:rPr>
        <w:t>Selling, distribution and administration expenses decreased to $553.3 million, or 31.6% of net revenues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six months of 2024, from $697.7 million, or 31.6% of net revenues, for the first six months of 2023. The decrease in Selling, distribution and administration expenses during the first six months of 2024 primarily reflects lower administrative expenses due to cost savings from the Company's Operational Excellence Program, a prior year intangible asset impairment charge of $65.0 million related to the Company's eOne trademark intangible asset, along with a non-recurring stock-compensation adjustment of $18.1 million recorded during the first quarter of 2024, partially offset by a non-recurring $31.1 million expense related to historical environmental exposures as discussed in Note 1 to the consolidated financial statements.</w:t>
      </w:r>
    </w:p>
    <w:p>
      <w:pPr>
        <w:spacing w:after="0" w:line="20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(Loss) - </w:t>
      </w:r>
      <w:r>
        <w:rPr>
          <w:rFonts w:ascii="Times New Roman" w:cs="Times New Roman" w:eastAsia="Times New Roman" w:hAnsi="Times New Roman"/>
          <w:sz w:val="18"/>
          <w:szCs w:val="18"/>
          <w:color w:val="auto"/>
        </w:rPr>
        <w:t>The operating profit for the first six months of 2024 was $328.3 million, or 18.7% of net revenues, compared to an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$170.7 million, or 7.7% of net revenues, for the first six months of 2023 driven by the factors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2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expense - </w:t>
      </w:r>
      <w:r>
        <w:rPr>
          <w:rFonts w:ascii="Times New Roman" w:cs="Times New Roman" w:eastAsia="Times New Roman" w:hAnsi="Times New Roman"/>
          <w:sz w:val="18"/>
          <w:szCs w:val="18"/>
          <w:color w:val="auto"/>
        </w:rPr>
        <w:t>Interest expense for the first six months of 2024 totaled $81.5 million compared to $92.9 million in the first six months of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Interest expense for the first six months of 2024 primarily reflects lower average outstanding borrowings in the first six months of 2024 as compared to first six months of 2023 due to the assumption of the production financing borrowings by Lionsgate as part of the eOne Film and TV business and due to the retirement of the Company's variable-rate Five-Year term loan using proceeds from the sale of the eOne Film and TV business, both occurring during the fourth quarter of 2023, partially offset by the issuance of the 2034 Notes (see Liquidity and Capital Resources discussion below for further information including description of the 2034 Notes).</w:t>
      </w:r>
    </w:p>
    <w:p>
      <w:pPr>
        <w:spacing w:after="0" w:line="20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income - </w:t>
      </w:r>
      <w:r>
        <w:rPr>
          <w:rFonts w:ascii="Times New Roman" w:cs="Times New Roman" w:eastAsia="Times New Roman" w:hAnsi="Times New Roman"/>
          <w:sz w:val="18"/>
          <w:szCs w:val="18"/>
          <w:color w:val="auto"/>
        </w:rPr>
        <w:t>Interest income was $21.3 million for the first six months of 2024, compared to $11.8 million in the first six months of 2023.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in 2024 primarily reflects higher average interest rates in 2024 compared to 2023, along with the Company's investment in short-term treasury bills in connection with the issuance of the 2034 Notes (see Liquidity and Capital Resources discussion below for further information including description of the 2034 Notes).</w:t>
      </w:r>
    </w:p>
    <w:p>
      <w:pPr>
        <w:spacing w:after="0" w:line="20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 (income), net - </w:t>
      </w:r>
      <w:r>
        <w:rPr>
          <w:rFonts w:ascii="Times New Roman" w:cs="Times New Roman" w:eastAsia="Times New Roman" w:hAnsi="Times New Roman"/>
          <w:sz w:val="18"/>
          <w:szCs w:val="18"/>
          <w:color w:val="auto"/>
        </w:rPr>
        <w:t>Other expense, net was $4.2 million for the first six months of 2024, compared to Other income, net of $2.9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six months of 2023. The change in Other expense (income), net during 2024 was driven primarily by an increase in foreign currency exchange losses the first six months of 2024 as compared to the first six months of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Income tax expense totaled $66.3 million on pre-tax income of $263.9 million in the first six months of 2024 compared to income tax expense of $7.7 million on pre-tax loss of $248.9 million in the first six months of 2023. Both periods were impacted by discrete tax events including the accrual of potential interest and penalties on uncertain tax positions. During the first six months of 2024, the Company incurred a $24.4 million unfavorable adjustment to the 2023 Loss on Sale of the Film &amp; TV reporting unit with no corresponding tax benefit. The first six months of 2023 includes an impairment of goodwill related to the Film &amp; TV reporting unit of $231.2 million with no tax benefit. During the first six months of 2024, exclusive of the Loss on Sale adjustment, the Company recorded unfavorable net discrete tax adjustments of $0.7 million compared to a net benefit, exclusive of the goodwill impairment, of $8.9 million in the first six months of 2023.</w:t>
      </w: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unfavorable net discrete tax adjustments for the first six months of 2024 are primarily associated with stock-based compensation offset by the release of various uncertain tax positions. The favorable net discrete tax adjustments for the first six months of 2023 are primarily associated with a tax benefit on the impairment of trade names in the Entertainment segment, offset by stock-based compensation and activity related to uncertain tax positions, primarily interest accruals. Absent discrete items, the tax rates for the first six months of 2024 and 2023 were 22.7% and 35.3% respectively. The decrease in the base rate of 22.7% for the first six months of 2024, relative to the first six months of 2023, is primarily due to the mix of jurisdictions where the Company earned its profits combined with the phasing of the Company's income earned throughout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for the Company's reportable segments for the six months ended June 30, 2024 and July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4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3"/>
                <w:szCs w:val="13"/>
                <w:color w:val="auto"/>
              </w:rPr>
            </w:pPr>
          </w:p>
        </w:tc>
        <w:tc>
          <w:tcPr>
            <w:tcW w:w="1480" w:type="dxa"/>
            <w:vAlign w:val="bottom"/>
            <w:gridSpan w:val="2"/>
          </w:tcPr>
          <w:p>
            <w:pPr>
              <w:ind w:left="380"/>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57"/>
        </w:trPr>
        <w:tc>
          <w:tcPr>
            <w:tcW w:w="20" w:type="dxa"/>
            <w:vAlign w:val="bottom"/>
            <w:shd w:val="clear" w:color="auto" w:fill="CCEEFF"/>
          </w:tcPr>
          <w:p>
            <w:pPr>
              <w:spacing w:after="0"/>
              <w:rPr>
                <w:sz w:val="13"/>
                <w:szCs w:val="13"/>
                <w:color w:val="auto"/>
              </w:rPr>
            </w:pPr>
          </w:p>
        </w:tc>
        <w:tc>
          <w:tcPr>
            <w:tcW w:w="62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profit (loss):</w:t>
            </w:r>
          </w:p>
        </w:tc>
        <w:tc>
          <w:tcPr>
            <w:tcW w:w="47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2"/>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Operating profit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 Products Segment</w:t>
      </w:r>
    </w:p>
    <w:p>
      <w:pPr>
        <w:spacing w:after="0" w:line="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six months ended June 30, 2024 and July 2,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80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r>
      <w:tr>
        <w:trPr>
          <w:trHeight w:val="214"/>
        </w:trPr>
        <w:tc>
          <w:tcPr>
            <w:tcW w:w="8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101.4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Consumer Products segment net revenues decreased 20% to $937.5 million for the first six months of 2024 compared to $1,175.6 million for the first six months of 2023 primarily driven by broader industry trends, exited businesses, including out-licensing certain brands, shifts in product mix, and reduced closeout sales as a result of last year's inventory clean up initiatives. The net revenue decrease primarily reflects lower net revenues from NERF, TRANSFORMERS, STAR WARS and MARVEL products. Net revenues from TRANSFORMERS products in the first six months of 2023 were supported by the June 2023 theatrical release of TRANSFORMERS: Rise of the Beasts. The net revenue decrease was driven by lower net revenues from the Company's products for STAR WARS and MARVEL which benefited from a robust slate of entertainment releases in prior years without a more recent release entertainment release to support revenue in the first six months of 2024</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Consumer Products segment operating loss for the first six months of 2024 was $56.2 million or 6.0% of segment net revenues, compared to a segment operating loss of $34.6 million or 2.9% of segment net revenues, for the first six months of 2023. The decrease in operating profit in the first six months of 2024 was driven by lower net revenue, partially offset by savings realized from the Company's Operational Excellence program, lower royalty expenses reflecting the mix of products sold, lower advertising and promotion expense and lower freight costs, associated with the lower sales volumes.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Wizards of the Coast and Digital Gaming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six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8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r>
      <w:tr>
        <w:trPr>
          <w:trHeight w:val="214"/>
        </w:trPr>
        <w:tc>
          <w:tcPr>
            <w:tcW w:w="8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535.8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232.5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768.3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net revenues increased 15% in the first six months of 2024 to $768.3 million from $670.8 million in the first six months of 2023. The net revenue increase in the Wizards of the Coast and Digital Gaming segment during the first six months of 2024 was primarily attributable to revenue contributions from higher digital licensing of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the DUNGEONS &amp; DRAGONS-based role-playing video game released during the third quarter 2023, and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Tabletop Gaming revenue increased 4% behind growth in MAGIC: THE GATHERING primarily due to strong demand for </w:t>
      </w:r>
      <w:r>
        <w:rPr>
          <w:rFonts w:ascii="Times New Roman" w:cs="Times New Roman" w:eastAsia="Times New Roman" w:hAnsi="Times New Roman"/>
          <w:sz w:val="18"/>
          <w:szCs w:val="18"/>
          <w:i w:val="1"/>
          <w:iCs w:val="1"/>
          <w:color w:val="auto"/>
        </w:rPr>
        <w:t>Modern Horizons 3</w:t>
      </w:r>
      <w:r>
        <w:rPr>
          <w:rFonts w:ascii="Times New Roman" w:cs="Times New Roman" w:eastAsia="Times New Roman" w:hAnsi="Times New Roman"/>
          <w:sz w:val="18"/>
          <w:szCs w:val="18"/>
          <w:color w:val="auto"/>
        </w:rPr>
        <w:t xml:space="preserve"> and strong early interest for </w:t>
      </w:r>
      <w:r>
        <w:rPr>
          <w:rFonts w:ascii="Times New Roman" w:cs="Times New Roman" w:eastAsia="Times New Roman" w:hAnsi="Times New Roman"/>
          <w:sz w:val="18"/>
          <w:szCs w:val="18"/>
          <w:i w:val="1"/>
          <w:iCs w:val="1"/>
          <w:color w:val="auto"/>
        </w:rPr>
        <w:t>Bloomburrow</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Wizards of the Coast and Digital Gaming segment operating profit was $369.9 million, or 48.1% of segment net revenues for the first six months of 2024, compared to operating profit of $219.1 million, or 32.7% of segment net revenues, for the first six months of 2023. The operating profit increase during the first six months of 2024 was driven by increased net revenues, contributions from higher digital licensing revenue mix, lower royalty expense, and cost savings initiatives.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Entertainment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six months ended June 30, 2024 and July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8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480" w:type="dxa"/>
            <w:vAlign w:val="bottom"/>
          </w:tcPr>
          <w:p>
            <w:pPr>
              <w:spacing w:after="0"/>
              <w:rPr>
                <w:sz w:val="13"/>
                <w:szCs w:val="13"/>
                <w:color w:val="auto"/>
              </w:rPr>
            </w:pPr>
          </w:p>
        </w:tc>
      </w:tr>
      <w:tr>
        <w:trPr>
          <w:trHeight w:val="214"/>
        </w:trPr>
        <w:tc>
          <w:tcPr>
            <w:tcW w:w="80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Film and TV</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Entertainment segment net revenues decreased 87% to $46.8 million for the first six months of 2024, compared to $364.6 million for the first six months of 2023. The net revenue decrease in the Entertainment segment during the first six months of 2024 was driven by lower net revenues as a result of the sale of the eOne Film and TV business during the fourth quarter of 2023.</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Entertainment segment operating profit was $4.8 million, or 10% of segment net revenues for the first six months of 2024, compared to an operating loss of $332.9 million, or 91% of segment net revenues for the first six months of 2023. The increase in Entertainment segment operating results during the first six months of 2024 was driven by a non-cash goodwill impairment charge of $231.2 million and intangible asset impairment charges of $65.0 million recorded during the first six months of 2023, associated with the impairment review of the Company's Film and TV reporting unit.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Corporate and Other operating profit was $9.8 million for the first six months of 2024 compared to an operating loss of $22.3 million for the first six months of 2023. The increase in operating profit in the first six months of 2024 as compared to the first six months of 2023 reflects savings realized from the Company's Operational Excellence program and a benefit from an non-recurring adjustment for stock compensation expense reversal recorded in the first quarter of 2024, partially offset by the net impact of the two prior period non-recurring adjustments recorded during the second quarter of 2024. Refer to Note 1 to the consolidated financial statements for further information on these non-recurring adjustments.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purchase orders with vendors and other parties in the ordinary course of business. Refer to Item 7 of our 2023 Annual Report for additional information regarding the Company’s cash obligations and commitments as of the end of fiscal year 2023. Additionally, refer to note 14 to the consolidated financial statements for a discussion of the Company’s commitments and contingencies. Contractual obligations and commercial commitments, as detailed in the Company's 2023 Form 10-K, did not materially change outside of certain payments made in the normal course of business and as otherwise set forth 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a significant amount of cash from operations. The Company primarily funded its operations and liquidity needs through cash on hand and from cash flows from operations, and when needed, borrowings under its commercial paper program and available lines of credit.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2024, the Company expects to continue to fund its working capital needs primarily through available cash, cash flows from operations and if needed, by issuing commercial paper or borrowing under its revolving credit agreement. 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Company's cash and cash equivalents totaled $626.8 million, and the Company's short-term investments totaled $483.0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cash and cash equivalents held outside of the United States as of June 30, 2024, are denominated in the U.S. dollar.</w:t>
      </w:r>
    </w:p>
    <w:p>
      <w:pPr>
        <w:spacing w:after="0" w:line="22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As of June 30, 2024, the Company had a remaining liability of $95.0 million related to a one-time mandatory deemed repatriation tax on undistributed foreign earnings applied in 2017 and paid in interest free installments over eight years, all of which is reflected in current liabilities in the Company's Consolidated Balance Sheets and represents the Company's final two installments due in 2024 and 2025, respectively. Due to severe storms and flooding in 2024 in Providence County, Rhode Island, US federal tax payments initially due April 15, 2024 were delayed to July 15, 2024, and, accordingly, both the 2024 and 2025 installment payments are reflected in short term liabilities as of June 30, 2024. Additionally, during the second quarter, the federal government applied $8.2 million of a tax refund receivable against the 2024 transition tax payment, reducing the July 2024 payment from $45.9 million to $37.7 million.</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June 30, 2024, the Company had no outstanding borrowings related to the commercial paper program.</w:t>
      </w:r>
    </w:p>
    <w:p>
      <w:pPr>
        <w:spacing w:after="0" w:line="20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facility with Bank of America, provides the Company with commitments having a maximum aggregate principal amount of $1.25 billion. The revolving credit facility also provides for a potential additional incremental commitment increase of up to $500.0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June 30, 2024. The Company had no borrowings outstanding under its revolving credit facility as of June 30, 2024. However, letters of credit outstanding under this facility as of June 30, 2024 were approximately $4.0 million. Amounts available and unused under the revolving credit facility at June 30, 2024 were approximately $1.2 billion, inclusive of borrowings under the Company’s commercial paper program. The Company also has other uncommitted lines from various banks, of which approximately $7.6 million was utilized as of June 30, 2024. Of the amount utilized under, or supported by, the uncommitted lines, the full $7.6 million represented letters of credit.</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principal amounts of long-term debt as of June 30, 2024 of $4.0 billion, due at varying times from 2024 through 2044. Of the total principal amount of long-term debt, $500.0 million is current as of June 30, 2024 which represents the Company's 3% fixed-rate notes due November 2024 (the "2024 Notes"). See note 8 to the Company’s consolidated financial statements for additional information on long-term debt and long-term debt interest repayment,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ind w:right="40"/>
        <w:spacing w:after="0" w:line="258" w:lineRule="auto"/>
        <w:rPr>
          <w:sz w:val="20"/>
          <w:szCs w:val="20"/>
          <w:color w:val="auto"/>
        </w:rPr>
      </w:pPr>
      <w:r>
        <w:rPr>
          <w:rFonts w:ascii="Times New Roman" w:cs="Times New Roman" w:eastAsia="Times New Roman" w:hAnsi="Times New Roman"/>
          <w:sz w:val="18"/>
          <w:szCs w:val="18"/>
          <w:color w:val="auto"/>
        </w:rPr>
        <w:t>In May 2024, the Company issued an aggregate of $500.0 million of senior unsecured debt securities that bears a fixed interest of 6.05% due 2034 (the "2034 Notes"). In connection with the issuance of the 2034 Notes, the 2034 Notes were issued with an original issuance discount of $1.4 million and capitalized $5.3 million of debt issuance costs. The original issuance discount and debt issuance costs will be amortized over the term of the 2034 Notes. It is anticipated that proceeds from the 2034 Notes, along with existing cash available, will be utilized to repay the 2024 Notes. As of June 30, 2024, the Company had invested the proceeds from the 2034 Notes in short-term investments.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spacing w:after="0" w:line="21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amount of obligations confirmed under the supplier finance program that remain unpaid by the Company were $72.4 million, $89.0 million, and $43.3 million as of June 30, 2024, July 2, 2023 and December 31, 2023, respectively. These obligations are presented within Accounts payable in the Company's Consolidated Balance Sheets. The activity related to this program is reflected within the operating activities section of the Consolidated Statements of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56"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the Consolidated Statement of Cash Flows, expressed in millions of dollars, for the six months ended June 30, 2024 and July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540" w:type="dxa"/>
            <w:vAlign w:val="bottom"/>
            <w:tcBorders>
              <w:bottom w:val="single" w:sz="8" w:color="auto"/>
            </w:tcBorders>
          </w:tcPr>
          <w:p>
            <w:pPr>
              <w:spacing w:after="0"/>
              <w:rPr>
                <w:sz w:val="18"/>
                <w:szCs w:val="18"/>
                <w:color w:val="auto"/>
              </w:rPr>
            </w:pPr>
          </w:p>
        </w:tc>
      </w:tr>
      <w:tr>
        <w:trPr>
          <w:trHeight w:val="158"/>
        </w:trPr>
        <w:tc>
          <w:tcPr>
            <w:tcW w:w="7900" w:type="dxa"/>
            <w:vAlign w:val="bottom"/>
          </w:tcPr>
          <w:p>
            <w:pPr>
              <w:spacing w:after="0"/>
              <w:rPr>
                <w:sz w:val="13"/>
                <w:szCs w:val="13"/>
                <w:color w:val="auto"/>
              </w:rPr>
            </w:pPr>
          </w:p>
        </w:tc>
        <w:tc>
          <w:tcPr>
            <w:tcW w:w="1100" w:type="dxa"/>
            <w:vAlign w:val="bottom"/>
          </w:tcPr>
          <w:p>
            <w:pPr>
              <w:jc w:val="center"/>
              <w:ind w:left="43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479"/>
              <w:spacing w:after="0" w:line="158" w:lineRule="exact"/>
              <w:rPr>
                <w:sz w:val="20"/>
                <w:szCs w:val="20"/>
                <w:color w:val="auto"/>
              </w:rPr>
            </w:pPr>
            <w:r>
              <w:rPr>
                <w:rFonts w:ascii="Times New Roman" w:cs="Times New Roman" w:eastAsia="Times New Roman" w:hAnsi="Times New Roman"/>
                <w:sz w:val="16"/>
                <w:szCs w:val="16"/>
                <w:b w:val="1"/>
                <w:bCs w:val="1"/>
                <w:color w:val="auto"/>
              </w:rPr>
              <w:t>July 2,</w:t>
            </w:r>
          </w:p>
        </w:tc>
        <w:tc>
          <w:tcPr>
            <w:tcW w:w="540" w:type="dxa"/>
            <w:vAlign w:val="bottom"/>
          </w:tcPr>
          <w:p>
            <w:pPr>
              <w:spacing w:after="0"/>
              <w:rPr>
                <w:sz w:val="13"/>
                <w:szCs w:val="13"/>
                <w:color w:val="auto"/>
              </w:rPr>
            </w:pPr>
          </w:p>
        </w:tc>
      </w:tr>
      <w:tr>
        <w:trPr>
          <w:trHeight w:val="214"/>
        </w:trPr>
        <w:tc>
          <w:tcPr>
            <w:tcW w:w="79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(utilized for):</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119.2</w:t>
            </w: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(115.8)</w:t>
            </w:r>
          </w:p>
        </w:tc>
      </w:tr>
      <w:tr>
        <w:trPr>
          <w:trHeight w:val="210"/>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(296.2)</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 the first six months of 2024 was $365.1 million compared to $119.2 million in the first six months of</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2023. The $245.9 million increase in net cash provided by Operating activities after adjusting for non-cash items, was primarily attributable to improved net income in the first six months of 2024 compared to first six months of 2023, and working capital benefits, primarily as a result of the sale of the eOne Film and TV business.</w:t>
      </w:r>
    </w:p>
    <w:p>
      <w:pPr>
        <w:spacing w:after="0" w:line="21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Net cash utilized for Investing activities was $575.4 million in the first six months of 2024 compared to net cash utilized for Investing activities of $115.8 million in the first six months of 2023. Additions to property, plant and equipment were $97.7 million in the first six months of 2024 compared to $112.1 million in the first six months of 2023 and purchase of Short-term Investments of $480.1 million in the first six months of 2024 from the proceeds of the 2034 Notes compared to the prior year with no similar activity.</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$288.5 million in the first six months of 2024 compared to net cash utilized of $296.2 million in the first six months of 2023. Financing activities in the first six months of 2024 primarily include $500.0 million of proceeds from issuance of the 2034 Notes, dividends paid of $194.6 million and $11.9 million of payments related to tax withholdings for stock compensation coinciding with equity award vesting activity. Financing activities in the first six months of 2023 include $193.8 million of dividends paid, $45.0 million of principal amortization payments toward the Company's Five-Year Tranche loan, which was retired during the fourth quarter of 2023 using the proceeds received from the sale of eOne Film and TV, as well as drawdowns of $105.0 million and repayments of $142.5 million related to production financing loans, all of which were assumed by Lionsgate effective upon the closing of the sale of the eOne Film and TV business in the fourth quarter of 2023, and $14.5 million of payments related to tax withholdings for stock compensation coinciding with equity award vesting activity.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and intangible assets and income taxes. These critical accounting policies are detailed in the Company's 2023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reflects derivatives at their fair value as an asset or liability on the Consolidated Balance Sheets. The Company does not speculate in foreign currency exchange contracts. See note 12 to the Company’s consolidated financial statements for further details on the Company's derivatives.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fixed-rate debt of $4.0 billion. The Company may from time to time assess interest rate swaps related to its outstanding debt. The Company did not have any outstanding swaps as of June 30, 2024, July 2, 2023, or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significant during the first six months of 2024 and throughout 2023. 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Part I, Item 2. "Management's Discussion and Analysis of Financial Condition and Results of Operations" and is incorporated herein by reference.</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8"/>
          <w:szCs w:val="18"/>
          <w:color w:val="auto"/>
        </w:rPr>
        <w:t>the supervision and with the participation of the Company's management, including the Company's Chief Executive Officer and Chief Financial Officer, of the effectiveness of the design and operation of the Company's disclosure controls and procedures as of June 30, 2024. Based on the evaluation of these disclosure controls and procedures, the Chief Executive Officer and Chief Financial Officer concluded that the Company's disclosure controls and procedures were effective.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7"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3" w:name="page44"/>
    <w:bookmarkEnd w:id="4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party to certain legal proceedings, none of which it believes to be material to its business or financial condition.</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12529"/>
        </w:rPr>
        <w:t>In connection with information set forth in this Quarterly Report on Form 10-Q, the risk factors discussed under Item 1A. Risk Factors, in Part I of our 2023 Form 10-K and in our subsequent filings, including in this filing, should be considered. The risks set forth in our 2023 Form 10-K and in our subsequent filings, including in this filing, could materially and adversely affect our business, financial condition, and results of operations. There are no material changes from the risk factors as previously disclosed in our 2023 Form 10-K, in any of our subsequently filed reports or as otherwise set forth in this Quarterly Report.</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repurchases of the Company’s Common Stock during the six months ended June 30, 2024. At June 30, 2024, Hasbro had $241.6 million remaining available under its share repurchase authorization.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none of our officers or directors adopted or terminated a “Rule 10b5-1 trading arrangement” or “non-Rule 10b5-1 trading arrangement,” as each term is defined in Item 408(a) and (c)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12" w:lineRule="exact"/>
        <w:rPr>
          <w:sz w:val="20"/>
          <w:szCs w:val="20"/>
          <w:color w:val="auto"/>
        </w:rPr>
      </w:pPr>
    </w:p>
    <w:p>
      <w:pPr>
        <w:ind w:left="980" w:right="30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3.1 </w:t>
      </w:r>
      <w:hyperlink r:id="rId56">
        <w:r>
          <w:rPr>
            <w:rFonts w:ascii="Times New Roman" w:cs="Times New Roman" w:eastAsia="Times New Roman" w:hAnsi="Times New Roman"/>
            <w:sz w:val="16"/>
            <w:szCs w:val="16"/>
            <w:u w:val="single" w:color="auto"/>
            <w:color w:val="0000FF"/>
          </w:rPr>
          <w:t>Restated Articles of Incorporation of the Company. (Incorporated by reference to Exhibit 3.1 to the Company's Quarterly Report on Form 10-Q for the</w:t>
        </w:r>
      </w:hyperlink>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6"/>
            <w:szCs w:val="16"/>
            <w:u w:val="single" w:color="auto"/>
            <w:color w:val="0000FF"/>
          </w:rPr>
          <w:t>period ended July 2, 2000, File No. 1-6682.)</w:t>
        </w:r>
      </w:hyperlink>
    </w:p>
    <w:p>
      <w:pPr>
        <w:spacing w:after="0" w:line="56" w:lineRule="exact"/>
        <w:rPr>
          <w:sz w:val="20"/>
          <w:szCs w:val="20"/>
          <w:color w:val="auto"/>
        </w:rPr>
      </w:pPr>
    </w:p>
    <w:p>
      <w:pPr>
        <w:ind w:left="980" w:right="4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3.2 </w:t>
      </w:r>
      <w:hyperlink r:id="rId57">
        <w:r>
          <w:rPr>
            <w:rFonts w:ascii="Times New Roman" w:cs="Times New Roman" w:eastAsia="Times New Roman" w:hAnsi="Times New Roman"/>
            <w:sz w:val="16"/>
            <w:szCs w:val="16"/>
            <w:u w:val="single" w:color="auto"/>
            <w:color w:val="0000FF"/>
          </w:rPr>
          <w:t>Amendment to Articles of Incorporation, dated June 28, 2000. (Incorporated by reference to Exhibit 3.4 to the Company's Quarterly Report on Form 10-Q</w:t>
        </w:r>
      </w:hyperlink>
      <w:r>
        <w:rPr>
          <w:rFonts w:ascii="Times New Roman" w:cs="Times New Roman" w:eastAsia="Times New Roman" w:hAnsi="Times New Roman"/>
          <w:sz w:val="16"/>
          <w:szCs w:val="16"/>
          <w:color w:val="auto"/>
        </w:rPr>
        <w:t xml:space="preserve"> </w:t>
      </w:r>
      <w:hyperlink r:id="rId57">
        <w:r>
          <w:rPr>
            <w:rFonts w:ascii="Times New Roman" w:cs="Times New Roman" w:eastAsia="Times New Roman" w:hAnsi="Times New Roman"/>
            <w:sz w:val="16"/>
            <w:szCs w:val="16"/>
            <w:u w:val="single" w:color="auto"/>
            <w:color w:val="0000FF"/>
          </w:rPr>
          <w:t>for the period ended July 2, 2000, File No. 1-6682.)</w:t>
        </w:r>
      </w:hyperlink>
    </w:p>
    <w:p>
      <w:pPr>
        <w:spacing w:after="0" w:line="56" w:lineRule="exact"/>
        <w:rPr>
          <w:sz w:val="20"/>
          <w:szCs w:val="20"/>
          <w:color w:val="auto"/>
        </w:rPr>
      </w:pPr>
    </w:p>
    <w:p>
      <w:pPr>
        <w:ind w:left="980" w:right="4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3.3 </w:t>
      </w:r>
      <w:hyperlink r:id="rId58">
        <w:r>
          <w:rPr>
            <w:rFonts w:ascii="Times New Roman" w:cs="Times New Roman" w:eastAsia="Times New Roman" w:hAnsi="Times New Roman"/>
            <w:sz w:val="16"/>
            <w:szCs w:val="16"/>
            <w:u w:val="single" w:color="auto"/>
            <w:color w:val="0000FF"/>
          </w:rPr>
          <w:t>Amendment to Articles of Incorporation, dated May 19, 2003. (Incorporated by reference to Exhibit 3.3 to the Company's Quarterly Report on Form 10-Q</w:t>
        </w:r>
      </w:hyperlink>
      <w:r>
        <w:rPr>
          <w:rFonts w:ascii="Times New Roman" w:cs="Times New Roman" w:eastAsia="Times New Roman" w:hAnsi="Times New Roman"/>
          <w:sz w:val="16"/>
          <w:szCs w:val="16"/>
          <w:color w:val="auto"/>
        </w:rPr>
        <w:t xml:space="preserve"> </w:t>
      </w:r>
      <w:hyperlink r:id="rId58">
        <w:r>
          <w:rPr>
            <w:rFonts w:ascii="Times New Roman" w:cs="Times New Roman" w:eastAsia="Times New Roman" w:hAnsi="Times New Roman"/>
            <w:sz w:val="16"/>
            <w:szCs w:val="16"/>
            <w:u w:val="single" w:color="auto"/>
            <w:color w:val="0000FF"/>
          </w:rPr>
          <w:t>for the period ended June 29, 2003, File No. 1-6682.)</w:t>
        </w:r>
      </w:hyperlink>
    </w:p>
    <w:p>
      <w:pPr>
        <w:spacing w:after="0" w:line="56" w:lineRule="exact"/>
        <w:rPr>
          <w:sz w:val="20"/>
          <w:szCs w:val="20"/>
          <w:color w:val="auto"/>
        </w:rPr>
      </w:pPr>
    </w:p>
    <w:p>
      <w:pPr>
        <w:ind w:left="980" w:right="26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3.4 </w:t>
      </w:r>
      <w:hyperlink r:id="rId59">
        <w:r>
          <w:rPr>
            <w:rFonts w:ascii="Times New Roman" w:cs="Times New Roman" w:eastAsia="Times New Roman" w:hAnsi="Times New Roman"/>
            <w:sz w:val="16"/>
            <w:szCs w:val="16"/>
            <w:u w:val="single" w:color="auto"/>
            <w:color w:val="0000FF"/>
          </w:rPr>
          <w:t>Second Amended and Restated Bylaws of the Company (Incorporated by reference to Exhibit 3.1 to the Company’s Current Report on Form 8-K dated</w:t>
        </w:r>
      </w:hyperlink>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6"/>
            <w:szCs w:val="16"/>
            <w:u w:val="single" w:color="auto"/>
            <w:color w:val="0000FF"/>
          </w:rPr>
          <w:t>September 30, 2022, File No. 1-6682.)</w:t>
        </w:r>
      </w:hyperlink>
    </w:p>
    <w:p>
      <w:pPr>
        <w:spacing w:after="0" w:line="56" w:lineRule="exact"/>
        <w:rPr>
          <w:sz w:val="20"/>
          <w:szCs w:val="20"/>
          <w:color w:val="auto"/>
        </w:rPr>
      </w:pPr>
    </w:p>
    <w:p>
      <w:pPr>
        <w:ind w:left="98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3.5 </w:t>
      </w:r>
      <w:hyperlink r:id="rId60">
        <w:r>
          <w:rPr>
            <w:rFonts w:ascii="Times New Roman" w:cs="Times New Roman" w:eastAsia="Times New Roman" w:hAnsi="Times New Roman"/>
            <w:sz w:val="16"/>
            <w:szCs w:val="16"/>
            <w:u w:val="single" w:color="auto"/>
            <w:color w:val="0000FF"/>
          </w:rPr>
          <w:t>Certificate of Designations of Series C Junior Participating Preference Stock of Hasbro, Inc. dated June 29, 1999. (Incorporated by reference to Exhibit 3.2</w:t>
        </w:r>
      </w:hyperlink>
      <w:r>
        <w:rPr>
          <w:rFonts w:ascii="Times New Roman" w:cs="Times New Roman" w:eastAsia="Times New Roman" w:hAnsi="Times New Roman"/>
          <w:sz w:val="16"/>
          <w:szCs w:val="16"/>
          <w:color w:val="auto"/>
        </w:rPr>
        <w:t xml:space="preserve"> </w:t>
      </w:r>
      <w:hyperlink r:id="rId60">
        <w:r>
          <w:rPr>
            <w:rFonts w:ascii="Times New Roman" w:cs="Times New Roman" w:eastAsia="Times New Roman" w:hAnsi="Times New Roman"/>
            <w:sz w:val="16"/>
            <w:szCs w:val="16"/>
            <w:u w:val="single" w:color="auto"/>
            <w:color w:val="0000FF"/>
          </w:rPr>
          <w:t>to the Company's Quarterly Report on Form 10-Q for the period ended July 2, 2000, File No. 1-6682.)</w:t>
        </w:r>
      </w:hyperlink>
    </w:p>
    <w:p>
      <w:pPr>
        <w:spacing w:after="0" w:line="56" w:lineRule="exact"/>
        <w:rPr>
          <w:sz w:val="20"/>
          <w:szCs w:val="20"/>
          <w:color w:val="auto"/>
        </w:rPr>
      </w:pPr>
    </w:p>
    <w:p>
      <w:pPr>
        <w:ind w:left="980" w:right="10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3.6 </w:t>
      </w:r>
      <w:hyperlink r:id="rId61">
        <w:r>
          <w:rPr>
            <w:rFonts w:ascii="Times New Roman" w:cs="Times New Roman" w:eastAsia="Times New Roman" w:hAnsi="Times New Roman"/>
            <w:sz w:val="16"/>
            <w:szCs w:val="16"/>
            <w:u w:val="single" w:color="auto"/>
            <w:color w:val="0000FF"/>
          </w:rPr>
          <w:t>Certificate of Vote(s) authorizing a decrease of class or series of any class of shares. (Incorporated by reference to Exhibit 3.3 to the Company's Quarterly</w:t>
        </w:r>
      </w:hyperlink>
      <w:r>
        <w:rPr>
          <w:rFonts w:ascii="Times New Roman" w:cs="Times New Roman" w:eastAsia="Times New Roman" w:hAnsi="Times New Roman"/>
          <w:sz w:val="16"/>
          <w:szCs w:val="16"/>
          <w:color w:val="auto"/>
        </w:rPr>
        <w:t xml:space="preserve"> </w:t>
      </w:r>
      <w:hyperlink r:id="rId61">
        <w:r>
          <w:rPr>
            <w:rFonts w:ascii="Times New Roman" w:cs="Times New Roman" w:eastAsia="Times New Roman" w:hAnsi="Times New Roman"/>
            <w:sz w:val="16"/>
            <w:szCs w:val="16"/>
            <w:u w:val="single" w:color="auto"/>
            <w:color w:val="0000FF"/>
          </w:rPr>
          <w:t>Report on Form 10-Q for the period ended July 2, 2000, File No 1-6682.)</w:t>
        </w:r>
      </w:hyperlink>
    </w:p>
    <w:p>
      <w:pPr>
        <w:spacing w:after="0" w:line="56" w:lineRule="exact"/>
        <w:rPr>
          <w:sz w:val="20"/>
          <w:szCs w:val="20"/>
          <w:color w:val="auto"/>
        </w:rPr>
      </w:pPr>
    </w:p>
    <w:p>
      <w:pPr>
        <w:ind w:left="980" w:right="8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 </w:t>
      </w:r>
      <w:hyperlink r:id="rId62">
        <w:r>
          <w:rPr>
            <w:rFonts w:ascii="Times New Roman" w:cs="Times New Roman" w:eastAsia="Times New Roman" w:hAnsi="Times New Roman"/>
            <w:sz w:val="16"/>
            <w:szCs w:val="16"/>
            <w:u w:val="single" w:color="auto"/>
            <w:color w:val="0000FF"/>
          </w:rPr>
          <w:t>Indenture, dated as of July 17, 1998, by and between the Company and The Bank of New York Mellon Trust Company, N.A. as successor Trustee to</w:t>
        </w:r>
      </w:hyperlink>
      <w:r>
        <w:rPr>
          <w:rFonts w:ascii="Times New Roman" w:cs="Times New Roman" w:eastAsia="Times New Roman" w:hAnsi="Times New Roman"/>
          <w:sz w:val="16"/>
          <w:szCs w:val="16"/>
          <w:color w:val="auto"/>
        </w:rPr>
        <w:t xml:space="preserve"> </w:t>
      </w:r>
      <w:hyperlink r:id="rId62">
        <w:r>
          <w:rPr>
            <w:rFonts w:ascii="Times New Roman" w:cs="Times New Roman" w:eastAsia="Times New Roman" w:hAnsi="Times New Roman"/>
            <w:sz w:val="16"/>
            <w:szCs w:val="16"/>
            <w:u w:val="single" w:color="auto"/>
            <w:color w:val="0000FF"/>
          </w:rPr>
          <w:t>Citibank, N.A. as Trustee. (Incorporated by reference to Exhibit 4.1 to the Company's Current Report on Form 8-K dated July 14, 1998, File No. 1-6682.)</w:t>
        </w:r>
      </w:hyperlink>
    </w:p>
    <w:p>
      <w:pPr>
        <w:spacing w:after="0" w:line="56" w:lineRule="exact"/>
        <w:rPr>
          <w:sz w:val="20"/>
          <w:szCs w:val="20"/>
          <w:color w:val="auto"/>
        </w:rPr>
      </w:pPr>
    </w:p>
    <w:p>
      <w:pPr>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4.2 </w:t>
      </w:r>
      <w:hyperlink r:id="rId63">
        <w:r>
          <w:rPr>
            <w:rFonts w:ascii="Times New Roman" w:cs="Times New Roman" w:eastAsia="Times New Roman" w:hAnsi="Times New Roman"/>
            <w:sz w:val="16"/>
            <w:szCs w:val="16"/>
            <w:u w:val="single" w:color="auto"/>
            <w:color w:val="0000FF"/>
          </w:rPr>
          <w:t>Indenture, dated as of March 15, 2000, by and between the Company and The Bank of New York Mellon Trust Company, N.A. as successor Trustee to the</w:t>
        </w:r>
      </w:hyperlink>
      <w:r>
        <w:rPr>
          <w:rFonts w:ascii="Times New Roman" w:cs="Times New Roman" w:eastAsia="Times New Roman" w:hAnsi="Times New Roman"/>
          <w:sz w:val="16"/>
          <w:szCs w:val="16"/>
          <w:color w:val="auto"/>
        </w:rPr>
        <w:t xml:space="preserve"> </w:t>
      </w:r>
      <w:hyperlink r:id="rId63">
        <w:r>
          <w:rPr>
            <w:rFonts w:ascii="Times New Roman" w:cs="Times New Roman" w:eastAsia="Times New Roman" w:hAnsi="Times New Roman"/>
            <w:sz w:val="16"/>
            <w:szCs w:val="16"/>
            <w:u w:val="single" w:color="auto"/>
            <w:color w:val="0000FF"/>
          </w:rPr>
          <w:t>Bank of Nova Scotia Trust Company of New York. (Incorporated by reference to Exhibit 4(b)(i) to the Company's Annual Report on Form 10-K for the</w:t>
        </w:r>
      </w:hyperlink>
      <w:r>
        <w:rPr>
          <w:rFonts w:ascii="Times New Roman" w:cs="Times New Roman" w:eastAsia="Times New Roman" w:hAnsi="Times New Roman"/>
          <w:sz w:val="16"/>
          <w:szCs w:val="16"/>
          <w:u w:val="single" w:color="auto"/>
          <w:color w:val="0000FF"/>
        </w:rPr>
        <w:t xml:space="preserve"> </w:t>
      </w:r>
      <w:hyperlink r:id="rId63">
        <w:r>
          <w:rPr>
            <w:rFonts w:ascii="Times New Roman" w:cs="Times New Roman" w:eastAsia="Times New Roman" w:hAnsi="Times New Roman"/>
            <w:sz w:val="16"/>
            <w:szCs w:val="16"/>
            <w:u w:val="single" w:color="auto"/>
            <w:color w:val="0000FF"/>
          </w:rPr>
          <w:t>fiscal year ended December 26, 1999, File No. 1-6682.)</w:t>
        </w:r>
      </w:hyperlink>
    </w:p>
    <w:p>
      <w:pPr>
        <w:spacing w:after="0" w:line="60" w:lineRule="exact"/>
        <w:rPr>
          <w:rFonts w:ascii="Times New Roman" w:cs="Times New Roman" w:eastAsia="Times New Roman" w:hAnsi="Times New Roman"/>
          <w:sz w:val="16"/>
          <w:szCs w:val="16"/>
          <w:color w:val="auto"/>
        </w:rPr>
      </w:pPr>
    </w:p>
    <w:p>
      <w:pPr>
        <w:ind w:left="980" w:right="6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4.3 </w:t>
      </w:r>
      <w:hyperlink r:id="rId64">
        <w:r>
          <w:rPr>
            <w:rFonts w:ascii="Times New Roman" w:cs="Times New Roman" w:eastAsia="Times New Roman" w:hAnsi="Times New Roman"/>
            <w:sz w:val="16"/>
            <w:szCs w:val="16"/>
            <w:u w:val="single" w:color="auto"/>
            <w:color w:val="0000FF"/>
          </w:rPr>
          <w:t>First Supplemental Indenture, dated as of September 17, 2007, between the Company and The Bank of New York Mellon Trust Company, N.A. as</w:t>
        </w:r>
      </w:hyperlink>
      <w:r>
        <w:rPr>
          <w:rFonts w:ascii="Times New Roman" w:cs="Times New Roman" w:eastAsia="Times New Roman" w:hAnsi="Times New Roman"/>
          <w:sz w:val="16"/>
          <w:szCs w:val="16"/>
          <w:color w:val="auto"/>
        </w:rPr>
        <w:t xml:space="preserve"> </w:t>
      </w:r>
      <w:hyperlink r:id="rId64">
        <w:r>
          <w:rPr>
            <w:rFonts w:ascii="Times New Roman" w:cs="Times New Roman" w:eastAsia="Times New Roman" w:hAnsi="Times New Roman"/>
            <w:sz w:val="16"/>
            <w:szCs w:val="16"/>
            <w:u w:val="single" w:color="auto"/>
            <w:color w:val="0000FF"/>
          </w:rPr>
          <w:t>successor Trustee to the Bank of Nova Scotia Trust Company of New York. (Incorporated by reference to Exhibit 4.1 to the Company's Current Report on</w:t>
        </w:r>
      </w:hyperlink>
      <w:r>
        <w:rPr>
          <w:rFonts w:ascii="Times New Roman" w:cs="Times New Roman" w:eastAsia="Times New Roman" w:hAnsi="Times New Roman"/>
          <w:sz w:val="16"/>
          <w:szCs w:val="16"/>
          <w:u w:val="single" w:color="auto"/>
          <w:color w:val="0000FF"/>
        </w:rPr>
        <w:t xml:space="preserve"> </w:t>
      </w:r>
      <w:hyperlink r:id="rId64">
        <w:r>
          <w:rPr>
            <w:rFonts w:ascii="Times New Roman" w:cs="Times New Roman" w:eastAsia="Times New Roman" w:hAnsi="Times New Roman"/>
            <w:sz w:val="16"/>
            <w:szCs w:val="16"/>
            <w:u w:val="single" w:color="auto"/>
            <w:color w:val="0000FF"/>
          </w:rPr>
          <w:t>Form 8-K filed September 17, 2007, File No. 1-6682.)</w:t>
        </w:r>
      </w:hyperlink>
    </w:p>
    <w:p>
      <w:pPr>
        <w:spacing w:after="0" w:line="60" w:lineRule="exact"/>
        <w:rPr>
          <w:rFonts w:ascii="Times New Roman" w:cs="Times New Roman" w:eastAsia="Times New Roman" w:hAnsi="Times New Roman"/>
          <w:sz w:val="16"/>
          <w:szCs w:val="16"/>
          <w:color w:val="auto"/>
        </w:rPr>
      </w:pPr>
    </w:p>
    <w:p>
      <w:pPr>
        <w:jc w:val="both"/>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4.4 </w:t>
      </w:r>
      <w:hyperlink r:id="rId65">
        <w:r>
          <w:rPr>
            <w:rFonts w:ascii="Times New Roman" w:cs="Times New Roman" w:eastAsia="Times New Roman" w:hAnsi="Times New Roman"/>
            <w:sz w:val="16"/>
            <w:szCs w:val="16"/>
            <w:u w:val="single" w:color="auto"/>
            <w:color w:val="0000FF"/>
          </w:rPr>
          <w:t>Second Supplemental Indenture, dated as of May 13, 2009,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65">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65">
        <w:r>
          <w:rPr>
            <w:rFonts w:ascii="Times New Roman" w:cs="Times New Roman" w:eastAsia="Times New Roman" w:hAnsi="Times New Roman"/>
            <w:sz w:val="16"/>
            <w:szCs w:val="16"/>
            <w:u w:val="single" w:color="auto"/>
            <w:color w:val="0000FF"/>
          </w:rPr>
          <w:t>filed May 13, 2009, File No. 1-6682.)</w:t>
        </w:r>
      </w:hyperlink>
    </w:p>
    <w:p>
      <w:pPr>
        <w:spacing w:after="0" w:line="60" w:lineRule="exact"/>
        <w:rPr>
          <w:rFonts w:ascii="Times New Roman" w:cs="Times New Roman" w:eastAsia="Times New Roman" w:hAnsi="Times New Roman"/>
          <w:sz w:val="16"/>
          <w:szCs w:val="16"/>
          <w:color w:val="auto"/>
        </w:rPr>
      </w:pPr>
    </w:p>
    <w:p>
      <w:pPr>
        <w:jc w:val="both"/>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4.5 </w:t>
      </w:r>
      <w:hyperlink r:id="rId66">
        <w:r>
          <w:rPr>
            <w:rFonts w:ascii="Times New Roman" w:cs="Times New Roman" w:eastAsia="Times New Roman" w:hAnsi="Times New Roman"/>
            <w:sz w:val="16"/>
            <w:szCs w:val="16"/>
            <w:u w:val="single" w:color="auto"/>
            <w:color w:val="0000FF"/>
          </w:rPr>
          <w:t>Third Supplemental Indenture, dated as of March 11, 2010,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66">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66">
        <w:r>
          <w:rPr>
            <w:rFonts w:ascii="Times New Roman" w:cs="Times New Roman" w:eastAsia="Times New Roman" w:hAnsi="Times New Roman"/>
            <w:sz w:val="16"/>
            <w:szCs w:val="16"/>
            <w:u w:val="single" w:color="auto"/>
            <w:color w:val="0000FF"/>
          </w:rPr>
          <w:t>filed March 11, 2010, File No. 1-6682.)</w:t>
        </w:r>
      </w:hyperlink>
    </w:p>
    <w:p>
      <w:pPr>
        <w:spacing w:after="0" w:line="60" w:lineRule="exact"/>
        <w:rPr>
          <w:rFonts w:ascii="Times New Roman" w:cs="Times New Roman" w:eastAsia="Times New Roman" w:hAnsi="Times New Roman"/>
          <w:sz w:val="16"/>
          <w:szCs w:val="16"/>
          <w:color w:val="auto"/>
        </w:rPr>
      </w:pPr>
    </w:p>
    <w:p>
      <w:pPr>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4.6 </w:t>
      </w:r>
      <w:hyperlink r:id="rId67">
        <w:r>
          <w:rPr>
            <w:rFonts w:ascii="Times New Roman" w:cs="Times New Roman" w:eastAsia="Times New Roman" w:hAnsi="Times New Roman"/>
            <w:sz w:val="16"/>
            <w:szCs w:val="16"/>
            <w:u w:val="single" w:color="auto"/>
            <w:color w:val="0000FF"/>
          </w:rPr>
          <w:t>Fourth Supplemental Indenture, dated May 13, 2014, between the Company and The Bank of New York Mellon Trust Company, N.A. as successor Trustee</w:t>
        </w:r>
      </w:hyperlink>
      <w:r>
        <w:rPr>
          <w:rFonts w:ascii="Times New Roman" w:cs="Times New Roman" w:eastAsia="Times New Roman" w:hAnsi="Times New Roman"/>
          <w:sz w:val="16"/>
          <w:szCs w:val="16"/>
          <w:color w:val="auto"/>
        </w:rPr>
        <w:t xml:space="preserve"> </w:t>
      </w:r>
      <w:hyperlink r:id="rId67">
        <w:r>
          <w:rPr>
            <w:rFonts w:ascii="Times New Roman" w:cs="Times New Roman" w:eastAsia="Times New Roman" w:hAnsi="Times New Roman"/>
            <w:sz w:val="16"/>
            <w:szCs w:val="16"/>
            <w:u w:val="single" w:color="auto"/>
            <w:color w:val="0000FF"/>
          </w:rPr>
          <w:t>to the Bank of Nova Scotia Trust Company of New York. (Incorporated by reference to Exhibit 4.1 to the Company's Current Report on Form 8-K filed</w:t>
        </w:r>
      </w:hyperlink>
      <w:r>
        <w:rPr>
          <w:rFonts w:ascii="Times New Roman" w:cs="Times New Roman" w:eastAsia="Times New Roman" w:hAnsi="Times New Roman"/>
          <w:sz w:val="16"/>
          <w:szCs w:val="16"/>
          <w:u w:val="single" w:color="auto"/>
          <w:color w:val="0000FF"/>
        </w:rPr>
        <w:t xml:space="preserve"> </w:t>
      </w:r>
      <w:hyperlink r:id="rId67">
        <w:r>
          <w:rPr>
            <w:rFonts w:ascii="Times New Roman" w:cs="Times New Roman" w:eastAsia="Times New Roman" w:hAnsi="Times New Roman"/>
            <w:sz w:val="16"/>
            <w:szCs w:val="16"/>
            <w:u w:val="single" w:color="auto"/>
            <w:color w:val="0000FF"/>
          </w:rPr>
          <w:t>May 13, 2014, file No. 1-6682.)</w:t>
        </w:r>
      </w:hyperlink>
    </w:p>
    <w:p>
      <w:pPr>
        <w:spacing w:after="0" w:line="60" w:lineRule="exact"/>
        <w:rPr>
          <w:rFonts w:ascii="Times New Roman" w:cs="Times New Roman" w:eastAsia="Times New Roman" w:hAnsi="Times New Roman"/>
          <w:sz w:val="16"/>
          <w:szCs w:val="16"/>
          <w:color w:val="auto"/>
        </w:rPr>
      </w:pPr>
    </w:p>
    <w:p>
      <w:pPr>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4.7 </w:t>
      </w:r>
      <w:hyperlink r:id="rId68">
        <w:r>
          <w:rPr>
            <w:rFonts w:ascii="Times New Roman" w:cs="Times New Roman" w:eastAsia="Times New Roman" w:hAnsi="Times New Roman"/>
            <w:sz w:val="16"/>
            <w:szCs w:val="16"/>
            <w:u w:val="single" w:color="auto"/>
            <w:color w:val="0000FF"/>
          </w:rPr>
          <w:t>Fifth Supplemental Indenture, dated September 13, 2017,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68">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68">
        <w:r>
          <w:rPr>
            <w:rFonts w:ascii="Times New Roman" w:cs="Times New Roman" w:eastAsia="Times New Roman" w:hAnsi="Times New Roman"/>
            <w:sz w:val="16"/>
            <w:szCs w:val="16"/>
            <w:u w:val="single" w:color="auto"/>
            <w:color w:val="0000FF"/>
          </w:rPr>
          <w:t>filed September 13, 2017, file No. 1-6682.)</w:t>
        </w:r>
      </w:hyperlink>
    </w:p>
    <w:p>
      <w:pPr>
        <w:spacing w:after="0" w:line="60" w:lineRule="exact"/>
        <w:rPr>
          <w:rFonts w:ascii="Times New Roman" w:cs="Times New Roman" w:eastAsia="Times New Roman" w:hAnsi="Times New Roman"/>
          <w:sz w:val="16"/>
          <w:szCs w:val="16"/>
          <w:color w:val="auto"/>
        </w:rPr>
      </w:pPr>
    </w:p>
    <w:p>
      <w:pPr>
        <w:ind w:left="980" w:right="6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4.8 </w:t>
      </w:r>
      <w:hyperlink r:id="rId69">
        <w:r>
          <w:rPr>
            <w:rFonts w:ascii="Times New Roman" w:cs="Times New Roman" w:eastAsia="Times New Roman" w:hAnsi="Times New Roman"/>
            <w:sz w:val="16"/>
            <w:szCs w:val="16"/>
            <w:u w:val="single" w:color="auto"/>
            <w:color w:val="0000FF"/>
          </w:rPr>
          <w:t>Sixth Supplemental Indenture dated as of November 19, 2019, among the Company and The Bank of New York Mellon Trust Company, N.A. and U.S.</w:t>
        </w:r>
      </w:hyperlink>
      <w:r>
        <w:rPr>
          <w:rFonts w:ascii="Times New Roman" w:cs="Times New Roman" w:eastAsia="Times New Roman" w:hAnsi="Times New Roman"/>
          <w:sz w:val="16"/>
          <w:szCs w:val="16"/>
          <w:color w:val="auto"/>
        </w:rPr>
        <w:t xml:space="preserve"> </w:t>
      </w:r>
      <w:hyperlink r:id="rId69">
        <w:r>
          <w:rPr>
            <w:rFonts w:ascii="Times New Roman" w:cs="Times New Roman" w:eastAsia="Times New Roman" w:hAnsi="Times New Roman"/>
            <w:sz w:val="16"/>
            <w:szCs w:val="16"/>
            <w:u w:val="single" w:color="auto"/>
            <w:color w:val="0000FF"/>
          </w:rPr>
          <w:t>Bank, National Association, supplementing the Indenture dated as of March 15, 2000. (Incorporated by reference to Exhibit 1.2 to the Company’s Current</w:t>
        </w:r>
      </w:hyperlink>
      <w:r>
        <w:rPr>
          <w:rFonts w:ascii="Times New Roman" w:cs="Times New Roman" w:eastAsia="Times New Roman" w:hAnsi="Times New Roman"/>
          <w:sz w:val="16"/>
          <w:szCs w:val="16"/>
          <w:u w:val="single" w:color="auto"/>
          <w:color w:val="0000FF"/>
        </w:rPr>
        <w:t xml:space="preserve"> </w:t>
      </w:r>
      <w:hyperlink r:id="rId69">
        <w:r>
          <w:rPr>
            <w:rFonts w:ascii="Times New Roman" w:cs="Times New Roman" w:eastAsia="Times New Roman" w:hAnsi="Times New Roman"/>
            <w:sz w:val="16"/>
            <w:szCs w:val="16"/>
            <w:u w:val="single" w:color="auto"/>
            <w:color w:val="0000FF"/>
          </w:rPr>
          <w:t>Report on Form 8-K filed November 19, 2019, File No. 1-6682.)</w:t>
        </w:r>
      </w:hyperlink>
    </w:p>
    <w:p>
      <w:pPr>
        <w:spacing w:after="0" w:line="60" w:lineRule="exact"/>
        <w:rPr>
          <w:rFonts w:ascii="Times New Roman" w:cs="Times New Roman" w:eastAsia="Times New Roman" w:hAnsi="Times New Roman"/>
          <w:sz w:val="16"/>
          <w:szCs w:val="16"/>
          <w:color w:val="auto"/>
        </w:rPr>
      </w:pPr>
    </w:p>
    <w:p>
      <w:pPr>
        <w:jc w:val="both"/>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4.9 </w:t>
      </w:r>
      <w:hyperlink r:id="rId70">
        <w:r>
          <w:rPr>
            <w:rFonts w:ascii="Times New Roman" w:cs="Times New Roman" w:eastAsia="Times New Roman" w:hAnsi="Times New Roman"/>
            <w:sz w:val="16"/>
            <w:szCs w:val="16"/>
            <w:u w:val="single" w:color="auto"/>
            <w:color w:val="0000FF"/>
          </w:rPr>
          <w:t>Seventh Supplemental Indenture dated as of May 14, 2024, among the Company and The Bank of New York Mellon Trust Company, N.A. and U.S. Bank,</w:t>
        </w:r>
      </w:hyperlink>
      <w:r>
        <w:rPr>
          <w:rFonts w:ascii="Times New Roman" w:cs="Times New Roman" w:eastAsia="Times New Roman" w:hAnsi="Times New Roman"/>
          <w:sz w:val="16"/>
          <w:szCs w:val="16"/>
          <w:color w:val="auto"/>
        </w:rPr>
        <w:t xml:space="preserve"> </w:t>
      </w:r>
      <w:hyperlink r:id="rId70">
        <w:r>
          <w:rPr>
            <w:rFonts w:ascii="Times New Roman" w:cs="Times New Roman" w:eastAsia="Times New Roman" w:hAnsi="Times New Roman"/>
            <w:sz w:val="16"/>
            <w:szCs w:val="16"/>
            <w:u w:val="single" w:color="auto"/>
            <w:color w:val="0000FF"/>
          </w:rPr>
          <w:t>National Association, supplementing the Indenture dated as of March 15, 2000. (Incorporated by reference to Exhibit 4.1 to the Company’s Current Report</w:t>
        </w:r>
      </w:hyperlink>
      <w:r>
        <w:rPr>
          <w:rFonts w:ascii="Times New Roman" w:cs="Times New Roman" w:eastAsia="Times New Roman" w:hAnsi="Times New Roman"/>
          <w:sz w:val="16"/>
          <w:szCs w:val="16"/>
          <w:u w:val="single" w:color="auto"/>
          <w:color w:val="0000FF"/>
        </w:rPr>
        <w:t xml:space="preserve"> </w:t>
      </w:r>
      <w:hyperlink r:id="rId70">
        <w:r>
          <w:rPr>
            <w:rFonts w:ascii="Times New Roman" w:cs="Times New Roman" w:eastAsia="Times New Roman" w:hAnsi="Times New Roman"/>
            <w:sz w:val="16"/>
            <w:szCs w:val="16"/>
            <w:u w:val="single" w:color="auto"/>
            <w:color w:val="0000FF"/>
          </w:rPr>
          <w:t>on Form 8-K filed May 14, 2024, File No. 1-6682.)</w:t>
        </w:r>
      </w:hyperlink>
    </w:p>
    <w:p>
      <w:pPr>
        <w:spacing w:after="0" w:line="56"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 </w:t>
      </w:r>
      <w:hyperlink r:id="rId71">
        <w:r>
          <w:rPr>
            <w:rFonts w:ascii="Times New Roman" w:cs="Times New Roman" w:eastAsia="Times New Roman" w:hAnsi="Times New Roman"/>
            <w:sz w:val="16"/>
            <w:szCs w:val="16"/>
            <w:u w:val="single" w:color="auto"/>
            <w:color w:val="0000FF"/>
          </w:rPr>
          <w:t>Amended and Restated Employment Agreement between the Company and Christian P. Cocks dated May 22, 2024. (Incorporated by reference to Exhibit</w:t>
        </w:r>
      </w:hyperlink>
    </w:p>
    <w:p>
      <w:pPr>
        <w:ind w:left="980"/>
        <w:spacing w:after="0"/>
        <w:rPr>
          <w:rFonts w:ascii="Times New Roman" w:cs="Times New Roman" w:eastAsia="Times New Roman" w:hAnsi="Times New Roman"/>
          <w:sz w:val="16"/>
          <w:szCs w:val="16"/>
          <w:u w:val="single" w:color="auto"/>
          <w:color w:val="0000FF"/>
        </w:rPr>
      </w:pPr>
      <w:hyperlink r:id="rId71">
        <w:r>
          <w:rPr>
            <w:rFonts w:ascii="Times New Roman" w:cs="Times New Roman" w:eastAsia="Times New Roman" w:hAnsi="Times New Roman"/>
            <w:sz w:val="16"/>
            <w:szCs w:val="16"/>
            <w:u w:val="single" w:color="auto"/>
            <w:color w:val="0000FF"/>
          </w:rPr>
          <w:t>10.1 to the Company’s Current Report on Form 8-K filed on May 24, 2024, File No. 1-6682.)</w:t>
        </w:r>
      </w:hyperlink>
    </w:p>
    <w:p>
      <w:pPr>
        <w:spacing w:after="0" w:line="68" w:lineRule="exact"/>
        <w:rPr>
          <w:rFonts w:ascii="Times New Roman" w:cs="Times New Roman" w:eastAsia="Times New Roman" w:hAnsi="Times New Roman"/>
          <w:sz w:val="16"/>
          <w:szCs w:val="16"/>
          <w:color w:val="auto"/>
        </w:rPr>
      </w:pPr>
    </w:p>
    <w:p>
      <w:pPr>
        <w:ind w:left="980" w:right="340" w:hanging="480"/>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10.2** </w:t>
      </w:r>
      <w:hyperlink r:id="rId72">
        <w:r>
          <w:rPr>
            <w:rFonts w:ascii="Times New Roman" w:cs="Times New Roman" w:eastAsia="Times New Roman" w:hAnsi="Times New Roman"/>
            <w:sz w:val="16"/>
            <w:szCs w:val="16"/>
            <w:u w:val="single" w:color="auto"/>
            <w:color w:val="0000FF"/>
          </w:rPr>
          <w:t>Fourth Amendment to Restated 2003 Stock Incentive Performance Plan. (Incorporated by reference to Appendix C to the Company’s definitive proxy</w:t>
        </w:r>
      </w:hyperlink>
      <w:r>
        <w:rPr>
          <w:rFonts w:ascii="Times New Roman" w:cs="Times New Roman" w:eastAsia="Times New Roman" w:hAnsi="Times New Roman"/>
          <w:sz w:val="16"/>
          <w:szCs w:val="16"/>
          <w:color w:val="auto"/>
        </w:rPr>
        <w:t xml:space="preserve"> </w:t>
      </w:r>
      <w:hyperlink r:id="rId72">
        <w:r>
          <w:rPr>
            <w:rFonts w:ascii="Times New Roman" w:cs="Times New Roman" w:eastAsia="Times New Roman" w:hAnsi="Times New Roman"/>
            <w:sz w:val="16"/>
            <w:szCs w:val="16"/>
            <w:u w:val="single" w:color="auto"/>
            <w:color w:val="0000FF"/>
          </w:rPr>
          <w:t>statement for its 2024 Annual Meeting of Shareholders, File No. 1-6682.)</w:t>
        </w:r>
      </w:hyperlink>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0000FF"/>
        </w:rPr>
        <w:t>Form of 2024 Contingent Stock Performance Award under the Hasbro, Inc. Restated 2003 Stock Incentive Performance Plan.</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10.4** </w:t>
      </w:r>
      <w:r>
        <w:rPr>
          <w:rFonts w:ascii="Times New Roman" w:cs="Times New Roman" w:eastAsia="Times New Roman" w:hAnsi="Times New Roman"/>
          <w:sz w:val="16"/>
          <w:szCs w:val="16"/>
          <w:u w:val="single" w:color="auto"/>
          <w:color w:val="0000FF"/>
        </w:rPr>
        <w:t>Form of 2024 Restricted Stock Unit Agreement under the Hasbro, Inc. Restated 2003 Stock Incentive Performance Plan.</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0000FF"/>
        </w:rPr>
        <w:t>Certification of the Chief Executive Officer Pursuant to Rule 13a-14(a) under the Securities Exchange Act of 1934.</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0000FF"/>
        </w:rPr>
        <w:t>Certification of the Chief Financial Officer Pursuant to Rule 13a-14(a) under the Securities Exchange Act of 1934.</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0000FF"/>
        </w:rPr>
        <w:t>Certification of the Chief Executive Officer Pursuant to Rule 13a-14(b) under the Securities Exchange Act of 1934.</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0000FF"/>
        </w:rPr>
        <w:t>Certification of the Chief Financial Officer Pursuant to Rule 13a-14(b) under the Securities Exchange Act of 1934.</w:t>
      </w:r>
    </w:p>
    <w:p>
      <w:pPr>
        <w:spacing w:after="0" w:line="86" w:lineRule="exact"/>
        <w:rPr>
          <w:sz w:val="20"/>
          <w:szCs w:val="20"/>
          <w:color w:val="auto"/>
        </w:rPr>
      </w:pPr>
    </w:p>
    <w:p>
      <w:pPr>
        <w:ind w:left="980" w:right="340" w:hanging="579"/>
        <w:spacing w:after="0" w:line="245" w:lineRule="auto"/>
        <w:rPr>
          <w:sz w:val="20"/>
          <w:szCs w:val="20"/>
          <w:color w:val="auto"/>
        </w:rPr>
      </w:pPr>
      <w:r>
        <w:rPr>
          <w:rFonts w:ascii="Times New Roman" w:cs="Times New Roman" w:eastAsia="Times New Roman" w:hAnsi="Times New Roman"/>
          <w:sz w:val="16"/>
          <w:szCs w:val="16"/>
          <w:color w:val="auto"/>
        </w:rPr>
        <w:t>101.INS 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45" w:name="page46"/>
    <w:bookmarkEnd w:id="45"/>
    <w:p>
      <w:pPr>
        <w:ind w:left="360"/>
        <w:spacing w:after="0"/>
        <w:rPr>
          <w:sz w:val="20"/>
          <w:szCs w:val="20"/>
          <w:color w:val="auto"/>
        </w:rPr>
      </w:pPr>
      <w:r>
        <w:rPr>
          <w:rFonts w:ascii="Times New Roman" w:cs="Times New Roman" w:eastAsia="Times New Roman" w:hAnsi="Times New Roman"/>
          <w:sz w:val="16"/>
          <w:szCs w:val="16"/>
          <w:color w:val="auto"/>
        </w:rPr>
        <w:t>101.SCH XBRL Taxonomy Extension Schema Document</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101.CAL XBRL Taxonomy Extension Calculation Linkbase Document</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101.LAB XBRL Taxonomy Extension Labels Linkbase Document</w:t>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101.PRE XBRL Taxonomy Extension Presentation Linkbase Document</w:t>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101.DEF XBRL Taxonomy Extension Definition Linkbase Document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Furnished herewith</w:t>
      </w:r>
    </w:p>
    <w:p>
      <w:pPr>
        <w:spacing w:after="0" w:line="171" w:lineRule="exact"/>
        <w:rPr>
          <w:sz w:val="20"/>
          <w:szCs w:val="20"/>
          <w:color w:val="auto"/>
        </w:rPr>
      </w:pPr>
    </w:p>
    <w:p>
      <w:pPr>
        <w:ind w:left="240" w:hanging="232"/>
        <w:spacing w:after="0"/>
        <w:tabs>
          <w:tab w:leader="none" w:pos="24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Indicates management contract or compensatory plan, contract or arrangement</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338" w:lineRule="exact"/>
        <w:rPr>
          <w:rFonts w:ascii="Times New Roman" w:cs="Times New Roman" w:eastAsia="Times New Roman" w:hAnsi="Times New Roman"/>
          <w:sz w:val="17"/>
          <w:szCs w:val="17"/>
          <w:i w:val="1"/>
          <w:iCs w:val="1"/>
          <w:color w:val="auto"/>
        </w:rPr>
      </w:pPr>
    </w:p>
    <w:p>
      <w:pPr>
        <w:ind w:left="55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0" w:right="1440"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7"/>
          <w:szCs w:val="17"/>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Gina Goetter</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67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6740"/>
        <w:spacing w:after="0" w:line="219" w:lineRule="auto"/>
        <w:rPr>
          <w:sz w:val="20"/>
          <w:szCs w:val="20"/>
          <w:color w:val="auto"/>
        </w:rPr>
      </w:pPr>
      <w:r>
        <w:rPr>
          <w:rFonts w:ascii="Times New Roman" w:cs="Times New Roman" w:eastAsia="Times New Roman" w:hAnsi="Times New Roman"/>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00"/>
          </w:cols>
          <w:pgMar w:left="320" w:top="945" w:right="3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HASBRO,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2003 STOCK INCENTIVE PERFORMANCE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CONTINGENT STOCK PERFORMANCE AWARD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(WITH TSR MODIFIER)</w:t>
      </w:r>
    </w:p>
    <w:p>
      <w:pPr>
        <w:spacing w:after="0" w:line="1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___________2024 GRANT</w:t>
      </w: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AGREEMENT, made effective as of ________, 2024, by and between HASBRO, INC., a Rhode Island corporation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designated contingent stock performance award recipient (the "Participant").</w:t>
      </w:r>
    </w:p>
    <w:p>
      <w:pPr>
        <w:spacing w:after="0" w:line="125" w:lineRule="exact"/>
        <w:rPr>
          <w:sz w:val="20"/>
          <w:szCs w:val="20"/>
          <w:color w:val="auto"/>
        </w:rPr>
      </w:pPr>
    </w:p>
    <w:p>
      <w:pPr>
        <w:jc w:val="both"/>
        <w:ind w:firstLine="290"/>
        <w:spacing w:after="0" w:line="352" w:lineRule="auto"/>
        <w:rPr>
          <w:sz w:val="20"/>
          <w:szCs w:val="20"/>
          <w:color w:val="auto"/>
        </w:rPr>
      </w:pPr>
      <w:r>
        <w:rPr>
          <w:rFonts w:ascii="Times New Roman" w:cs="Times New Roman" w:eastAsia="Times New Roman" w:hAnsi="Times New Roman"/>
          <w:sz w:val="22"/>
          <w:szCs w:val="22"/>
          <w:color w:val="auto"/>
        </w:rPr>
        <w:t>WHEREAS, the Participant is eligible to participate in the Company's Restated 2003 Stock Incentive Performance Plan, as amended (the "Plan").</w:t>
      </w:r>
    </w:p>
    <w:p>
      <w:pPr>
        <w:jc w:val="both"/>
        <w:ind w:firstLine="223"/>
        <w:spacing w:after="0" w:line="358" w:lineRule="auto"/>
        <w:rPr>
          <w:sz w:val="20"/>
          <w:szCs w:val="20"/>
          <w:color w:val="auto"/>
        </w:rPr>
      </w:pPr>
      <w:r>
        <w:rPr>
          <w:rFonts w:ascii="Times New Roman" w:cs="Times New Roman" w:eastAsia="Times New Roman" w:hAnsi="Times New Roman"/>
          <w:sz w:val="22"/>
          <w:szCs w:val="22"/>
          <w:color w:val="auto"/>
        </w:rPr>
        <w:t>WHEREAS, subject to and upon the terms and conditions of this Agreement, the Compensation Committee (the "Committee") of the Board of Directors of the Company (the "Board"), acting in accordance with the provisions of the Plan, is granting to Participant a contingent stock performance award dated ________, 2024; and</w:t>
      </w:r>
    </w:p>
    <w:p>
      <w:pPr>
        <w:spacing w:after="0" w:line="2" w:lineRule="exact"/>
        <w:rPr>
          <w:sz w:val="20"/>
          <w:szCs w:val="20"/>
          <w:color w:val="auto"/>
        </w:rPr>
      </w:pPr>
    </w:p>
    <w:p>
      <w:pPr>
        <w:jc w:val="both"/>
        <w:ind w:firstLine="221"/>
        <w:spacing w:after="0" w:line="373" w:lineRule="auto"/>
        <w:rPr>
          <w:sz w:val="20"/>
          <w:szCs w:val="20"/>
          <w:color w:val="auto"/>
        </w:rPr>
      </w:pPr>
      <w:r>
        <w:rPr>
          <w:rFonts w:ascii="Times New Roman" w:cs="Times New Roman" w:eastAsia="Times New Roman" w:hAnsi="Times New Roman"/>
          <w:sz w:val="21"/>
          <w:szCs w:val="21"/>
          <w:color w:val="auto"/>
        </w:rPr>
        <w:t xml:space="preserve">WHEREAS, subject to and upon the terms and conditions set forth in the Plan and as hereinafter set forth, the contingent stock performance award provides the Participant with the ability to earn shares of the Company’s common stock, par value $.50 per share (the "Common Stock"), contingent on the Company’s performance in achieving a pre-established cumulative diluted earnings per share (“EPS”) performance target over the period beginning on January 1, 2024 and ending on December 27, 2026 (the “Performance Period”), as adjusted by a total shareholder return (“TSR”) modifier (the “TSR Modifier”) for the period of time during the Performance Period, each performance target to be calculated and determined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3" w:lineRule="exact"/>
        <w:rPr>
          <w:sz w:val="20"/>
          <w:szCs w:val="20"/>
          <w:color w:val="auto"/>
        </w:rPr>
      </w:pPr>
    </w:p>
    <w:p>
      <w:pPr>
        <w:jc w:val="both"/>
        <w:ind w:firstLine="224"/>
        <w:spacing w:after="0" w:line="386" w:lineRule="auto"/>
        <w:rPr>
          <w:sz w:val="20"/>
          <w:szCs w:val="20"/>
          <w:color w:val="auto"/>
        </w:rPr>
      </w:pPr>
      <w:r>
        <w:rPr>
          <w:rFonts w:ascii="Times New Roman" w:cs="Times New Roman" w:eastAsia="Times New Roman" w:hAnsi="Times New Roman"/>
          <w:sz w:val="22"/>
          <w:szCs w:val="22"/>
          <w:color w:val="auto"/>
        </w:rPr>
        <w:t>NOW, THEREFORE, in consideration of these premises and other good and valuable consideration, the parties hereto agree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55" w:lineRule="exact"/>
        <w:rPr>
          <w:sz w:val="20"/>
          <w:szCs w:val="20"/>
          <w:color w:val="auto"/>
        </w:rPr>
      </w:pPr>
    </w:p>
    <w:p>
      <w:pPr>
        <w:ind w:left="600" w:hanging="376"/>
        <w:spacing w:after="0"/>
        <w:tabs>
          <w:tab w:leader="none" w:pos="6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the Participant hereby acknowledges and agrees that:</w:t>
      </w:r>
    </w:p>
    <w:p>
      <w:pPr>
        <w:spacing w:after="0" w:line="125" w:lineRule="exact"/>
        <w:rPr>
          <w:rFonts w:ascii="Times New Roman" w:cs="Times New Roman" w:eastAsia="Times New Roman" w:hAnsi="Times New Roman"/>
          <w:sz w:val="22"/>
          <w:szCs w:val="22"/>
          <w:color w:val="auto"/>
        </w:rPr>
      </w:pPr>
    </w:p>
    <w:p>
      <w:pPr>
        <w:jc w:val="both"/>
        <w:ind w:left="2000" w:right="140" w:hanging="642"/>
        <w:spacing w:after="0" w:line="372" w:lineRule="auto"/>
        <w:tabs>
          <w:tab w:leader="none" w:pos="198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any shares the Participant may acquire under this Award in the future or any of the proceeds of selling any shares acquired pursuant to this Award, as well as any other incentive compensation the Participant is granted after, is subject to the Company’s Clawback</w:t>
      </w:r>
    </w:p>
    <w:p>
      <w:pPr>
        <w:sectPr>
          <w:pgSz w:w="11900" w:h="16838" w:orient="portrait"/>
          <w:cols w:equalWidth="0" w:num="1">
            <w:col w:w="11240"/>
          </w:cols>
          <w:pgMar w:left="320" w:top="824" w:right="339" w:bottom="1440" w:gutter="0" w:footer="0" w:header="0"/>
        </w:sectPr>
      </w:pPr>
    </w:p>
    <w:bookmarkStart w:id="48" w:name="page49"/>
    <w:bookmarkEnd w:id="48"/>
    <w:p>
      <w:pPr>
        <w:ind w:left="880"/>
        <w:spacing w:after="0"/>
        <w:rPr>
          <w:sz w:val="20"/>
          <w:szCs w:val="20"/>
          <w:color w:val="auto"/>
        </w:rPr>
      </w:pPr>
      <w:r>
        <w:rPr>
          <w:rFonts w:ascii="Times New Roman" w:cs="Times New Roman" w:eastAsia="Times New Roman" w:hAnsi="Times New Roman"/>
          <w:sz w:val="22"/>
          <w:szCs w:val="22"/>
          <w:color w:val="auto"/>
        </w:rPr>
        <w:t>Policy, as it may be amended from time to time by the Board in the future,</w:t>
      </w:r>
    </w:p>
    <w:p>
      <w:pPr>
        <w:spacing w:after="0" w:line="125" w:lineRule="exact"/>
        <w:rPr>
          <w:sz w:val="20"/>
          <w:szCs w:val="20"/>
          <w:color w:val="auto"/>
        </w:rPr>
      </w:pPr>
    </w:p>
    <w:p>
      <w:pPr>
        <w:jc w:val="both"/>
        <w:ind w:left="880" w:right="20" w:hanging="642"/>
        <w:spacing w:after="0" w:line="355" w:lineRule="auto"/>
        <w:tabs>
          <w:tab w:leader="none" w:pos="87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and</w:t>
      </w:r>
    </w:p>
    <w:p>
      <w:pPr>
        <w:spacing w:after="0" w:line="7" w:lineRule="exact"/>
        <w:rPr>
          <w:rFonts w:ascii="Times New Roman" w:cs="Times New Roman" w:eastAsia="Times New Roman" w:hAnsi="Times New Roman"/>
          <w:sz w:val="22"/>
          <w:szCs w:val="22"/>
          <w:color w:val="auto"/>
        </w:rPr>
      </w:pPr>
    </w:p>
    <w:p>
      <w:pPr>
        <w:jc w:val="both"/>
        <w:ind w:left="880" w:hanging="642"/>
        <w:spacing w:after="0" w:line="358" w:lineRule="auto"/>
        <w:tabs>
          <w:tab w:leader="none" w:pos="8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Participant is notified by the Company or its equity plan administrator that Participant is required to enter into a Non-Competition, Non-Solicitation and Confidentiality Agreement with the Company, this Award shall be contingent upon and subject to the Participant (x) executing and delivering to the Company a Non-Competition, Non-Solicitation and Confidentiality Agreement by and between the Participant and the Company, in a form prescribed by and no later than a date designated by the Company; or (y) confirming and agreeing that the Participant remains bound by and subject to the terms of the Participant’s previously executed Non-Competition, Non-Solicitation and Confidentiality Agreement(s), which confirmation and agreement will occur upon your acceptance of this Award. For the avoidance of doubt, if the Participant has not executed and delivered to the Company a Non-Competition, Non-Solicitation and Confidentiality Agreement or confirmed and agreed (through acceptance of this Award) the terms of the Participant’s existing Non-Competition, Non-Solicitation and Confidentiality Agreement(s) no later than 90 days from the date of this Award, this Award will not take effect and will be null and void.</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00"/>
          </w:cols>
          <w:pgMar w:left="1440" w:top="828" w:right="459" w:bottom="1440" w:gutter="0" w:footer="0" w:header="0"/>
        </w:sectPr>
      </w:pPr>
    </w:p>
    <w:bookmarkStart w:id="49" w:name="page50"/>
    <w:bookmarkEnd w:id="49"/>
    <w:p>
      <w:pPr>
        <w:ind w:left="2000" w:right="20" w:hanging="642"/>
        <w:spacing w:after="0" w:line="386" w:lineRule="auto"/>
        <w:tabs>
          <w:tab w:leader="none" w:pos="1988" w:val="left"/>
        </w:tabs>
        <w:numPr>
          <w:ilvl w:val="3"/>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acknowledgements and agreements set forth in this section are material conditions to receiving this Award, which would not have been made to the Participant otherwise.</w:t>
      </w:r>
    </w:p>
    <w:p>
      <w:pPr>
        <w:spacing w:after="0" w:line="185" w:lineRule="exact"/>
        <w:rPr>
          <w:rFonts w:ascii="Times New Roman" w:cs="Times New Roman" w:eastAsia="Times New Roman" w:hAnsi="Times New Roman"/>
          <w:sz w:val="22"/>
          <w:szCs w:val="22"/>
          <w:color w:val="auto"/>
        </w:rPr>
      </w:pPr>
    </w:p>
    <w:p>
      <w:pPr>
        <w:jc w:val="both"/>
        <w:ind w:right="20" w:firstLine="253"/>
        <w:spacing w:after="0" w:line="355" w:lineRule="auto"/>
        <w:tabs>
          <w:tab w:leader="none" w:pos="64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relates to an Award providing the Participant with the potential ability to earn shares of the Company’s Common Stock contingent on the Company’s performance in achieving a pre-established cumulative EPS target over the Performance Period, as adjusted by the TSR Modifier. The cumulative EPS target for the Performance Period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spacing w:after="0" w:line="3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threshold and maximum levels for cumulative EPS, as well as the TSR Modifier, contributing to shares being earned under this Award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Following the end of the Performance Period, the Committee will determine the Company’s cumulative EPS over the Performance Period and the TSR Modifier over the Performance Period. The Committee will certify the Company’s cumulative EPS over the Performance Period and the TSR Modifier over the Performance Period as promptly as is reasonably possible following the completion of the Performance Period. The Award, to the extent earned based on attainment of the performance measures as certified by the Committee, will fully vest on March 7, 2027 (the “Vesting Date”).</w:t>
      </w:r>
    </w:p>
    <w:p>
      <w:pPr>
        <w:spacing w:after="0" w:line="5" w:lineRule="exact"/>
        <w:rPr>
          <w:rFonts w:ascii="Times New Roman" w:cs="Times New Roman" w:eastAsia="Times New Roman" w:hAnsi="Times New Roman"/>
          <w:sz w:val="22"/>
          <w:szCs w:val="22"/>
          <w:color w:val="auto"/>
        </w:rPr>
      </w:pPr>
    </w:p>
    <w:p>
      <w:pPr>
        <w:jc w:val="both"/>
        <w:ind w:right="20" w:firstLine="188"/>
        <w:spacing w:after="0" w:line="356" w:lineRule="auto"/>
        <w:tabs>
          <w:tab w:leader="none" w:pos="55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Award, the Company’s EPS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Further, EPS will be calculated based on actual results translated at exchange rates established at the beginning of the Performance Period.</w:t>
      </w:r>
    </w:p>
    <w:p>
      <w:pPr>
        <w:jc w:val="both"/>
        <w:ind w:right="20" w:firstLine="378"/>
        <w:spacing w:after="0" w:line="360" w:lineRule="auto"/>
        <w:tabs>
          <w:tab w:leader="none" w:pos="89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target number of shares of Common Stock which may be issuable under this Award in the event of 100% achievement of a pre-established cumulative EPS over the Performance Period is the specified number of shares communicated by separate communication to the Participant (the “Target Shares”). The table appearing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set forth the contingent number of shares of Common Stock which the Participant may actually earn under this Award, as a percentage of the Target Shares, based upon certain performance by the Company in achieving the EPS target. To compute the actual number of shares of Common Stock, if any, which may be earned by the Participant, the cumulative EPS performance of the Company, weighted at 100%, is applied to the table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then such number of shares of Common Stock, if any, is subject to a +/- 25%</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828"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xml:space="preserve">modifier for the Company’s TSR Performance against the TSR Comparator Group (as defined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right="120" w:firstLine="345"/>
        <w:spacing w:after="0" w:line="356" w:lineRule="auto"/>
        <w:rPr>
          <w:sz w:val="20"/>
          <w:szCs w:val="20"/>
          <w:color w:val="auto"/>
        </w:rPr>
      </w:pPr>
      <w:r>
        <w:rPr>
          <w:rFonts w:ascii="Times New Roman" w:cs="Times New Roman" w:eastAsia="Times New Roman" w:hAnsi="Times New Roman"/>
          <w:sz w:val="22"/>
          <w:szCs w:val="22"/>
          <w:color w:val="auto"/>
        </w:rPr>
        <w:t>On the date that the Company pays a cash dividend to holders of Common Stock, unless otherwise determined by the Committee in its sole discretion, the Company shall credit each Target Share with a dividend equivalent unit (“DEU”). DEUs will be calculated at the same dividend rate paid to other holders of shares of Common Stock and will equal the total number of Target Shares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Target Shares and will vest in accordance with the vesting schedule applicable to the shares subject to this Award. The Participant shall not be entitled to any voting rights with respect to the DEUs prior to vesting.</w:t>
      </w:r>
    </w:p>
    <w:p>
      <w:pPr>
        <w:jc w:val="both"/>
        <w:ind w:right="140" w:firstLine="289"/>
        <w:spacing w:after="0" w:line="372" w:lineRule="auto"/>
        <w:tabs>
          <w:tab w:leader="none" w:pos="49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once the Company has determined the actual number of shares of Common Stock, if any, which have been earned by the Participant, the Company or its designee will as promptly as possible after the Vesting</w:t>
      </w:r>
    </w:p>
    <w:p>
      <w:pPr>
        <w:spacing w:after="0" w:line="1" w:lineRule="exact"/>
        <w:rPr>
          <w:rFonts w:ascii="Times New Roman" w:cs="Times New Roman" w:eastAsia="Times New Roman" w:hAnsi="Times New Roman"/>
          <w:sz w:val="21"/>
          <w:szCs w:val="21"/>
          <w:color w:val="auto"/>
        </w:rPr>
      </w:pPr>
    </w:p>
    <w:p>
      <w:pPr>
        <w:ind w:right="140"/>
        <w:spacing w:after="0" w:line="32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but in all events not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end of the calendar year in which the Performance Period ends, issue any such shares of Common Stock which have been deemed earned to the Participant.</w:t>
      </w:r>
    </w:p>
    <w:p>
      <w:pPr>
        <w:spacing w:after="0" w:line="34" w:lineRule="exact"/>
        <w:rPr>
          <w:rFonts w:ascii="Times New Roman" w:cs="Times New Roman" w:eastAsia="Times New Roman" w:hAnsi="Times New Roman"/>
          <w:sz w:val="21"/>
          <w:szCs w:val="21"/>
          <w:color w:val="auto"/>
        </w:rPr>
      </w:pPr>
    </w:p>
    <w:p>
      <w:pPr>
        <w:ind w:left="540" w:hanging="240"/>
        <w:spacing w:after="0"/>
        <w:tabs>
          <w:tab w:leader="none" w:pos="5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consult with the Company or its designee in advance of the issuance of any shares pursuant to this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 so as to designate the manner in which the Participant wishes to pay any withholding taxes due, and any such Participant’s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designation must be made by the Participant affirmatively to the Company, in the manner specified by the Company, and on 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before the date selected by the Company. Each Participant who elects to pay withholding taxes in cash shall deliver to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or its designee, a check payable to Hasbro, Inc. or its designee, or a wire transfer to such account of the Company or its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designee, as the Company may designate, in United States dollars, in the amount of any withholding required by law for any and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federal, state, local or foreign taxes payable as a result of the Participant earning any shares under this Award or being issued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shares pursuant to the provisions below</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28" w:right="339" w:bottom="1440" w:gutter="0" w:footer="0" w:header="0"/>
        </w:sectPr>
      </w:pPr>
    </w:p>
    <w:bookmarkStart w:id="51" w:name="page52"/>
    <w:bookmarkEnd w:id="51"/>
    <w:p>
      <w:pPr>
        <w:jc w:val="both"/>
        <w:spacing w:after="0" w:line="475" w:lineRule="auto"/>
        <w:rPr>
          <w:sz w:val="20"/>
          <w:szCs w:val="20"/>
          <w:color w:val="auto"/>
        </w:rPr>
      </w:pPr>
      <w:r>
        <w:rPr>
          <w:rFonts w:ascii="Times New Roman" w:cs="Times New Roman" w:eastAsia="Times New Roman" w:hAnsi="Times New Roman"/>
          <w:sz w:val="22"/>
          <w:szCs w:val="22"/>
          <w:color w:val="auto"/>
        </w:rPr>
        <w:t>based on certain other events. 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 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 taxes, then the Participant’s tax withholding requirements will be satisfied through the 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Company or its designee, the shares payable pursuant to the Award (less any shares deducted to pay Taxes).</w:t>
      </w:r>
    </w:p>
    <w:p>
      <w:pPr>
        <w:spacing w:after="0" w:line="6" w:lineRule="exact"/>
        <w:rPr>
          <w:sz w:val="20"/>
          <w:szCs w:val="20"/>
          <w:color w:val="auto"/>
        </w:rPr>
      </w:pPr>
    </w:p>
    <w:p>
      <w:pPr>
        <w:ind w:right="20" w:firstLine="270"/>
        <w:spacing w:after="0" w:line="501" w:lineRule="auto"/>
        <w:tabs>
          <w:tab w:leader="none" w:pos="68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such time, if any, that actual shares of Common Stock become due and are issued to the Participant in accordance with the terms of this Agreement, the Participant will not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5" w:right="339" w:bottom="1440" w:gutter="0" w:footer="0" w:header="0"/>
        </w:sectPr>
      </w:pPr>
    </w:p>
    <w:bookmarkStart w:id="52" w:name="page53"/>
    <w:bookmarkEnd w:id="52"/>
    <w:p>
      <w:pPr>
        <w:jc w:val="both"/>
        <w:spacing w:after="0" w:line="473" w:lineRule="auto"/>
        <w:rPr>
          <w:sz w:val="20"/>
          <w:szCs w:val="20"/>
          <w:color w:val="auto"/>
        </w:rPr>
      </w:pPr>
      <w:r>
        <w:rPr>
          <w:rFonts w:ascii="Times New Roman" w:cs="Times New Roman" w:eastAsia="Times New Roman" w:hAnsi="Times New Roman"/>
          <w:sz w:val="22"/>
          <w:szCs w:val="22"/>
          <w:color w:val="auto"/>
        </w:rPr>
        <w:t>receive any dividends and will not have any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spacing w:after="0" w:line="4" w:lineRule="exact"/>
        <w:rPr>
          <w:sz w:val="20"/>
          <w:szCs w:val="20"/>
          <w:color w:val="auto"/>
        </w:rPr>
      </w:pPr>
    </w:p>
    <w:p>
      <w:pPr>
        <w:jc w:val="both"/>
        <w:ind w:firstLine="224"/>
        <w:spacing w:after="0" w:line="476" w:lineRule="auto"/>
        <w:tabs>
          <w:tab w:leader="none" w:pos="59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a Participant who is an employee of the Company or of a direct or indirect subsidiary of the Company dies before the Performance Period is completed, then the Company will issue the number of shares of Common Stock to the executor, administrator or trustee of the Participant’s estate, or the Participant’s legal representative, as the case may be, that is computed by multiplying: (i) the number of shares of Common Stock which would have been issuable to the Participant pursuant to the Award assuming completion of the Performance Period and the Company’s achievement over the Performance Period of cumulative EPS equal to target in each case by (ii) a fraction, the numerator of which is the number of days from the start of the Performance Period to the date that the Participant died and the denominator of which is the total number of days in the Performance Period. This pro-rated target award will be payable as soon following the Participant’s death as is reasonably practicable. If a Participant dies after the end of the Performance Period, but prior to the delivery of any shares of Common Stock issuable pursuant to this Award, then the Company or its designee will issue to the Participant’s estate, or the Participant’s legal representative, as the case may be, the number of shares of Common Stock, if any, which would have otherwise been issuable to the Participant if the Participant had not died.</w:t>
      </w:r>
    </w:p>
    <w:p>
      <w:pPr>
        <w:jc w:val="both"/>
        <w:ind w:firstLine="644"/>
        <w:spacing w:after="0" w:line="483" w:lineRule="auto"/>
        <w:tabs>
          <w:tab w:leader="none" w:pos="96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with at least one year of Credited Service of the Company suffers a permanent physical or mental disability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5" w:right="339" w:bottom="1440" w:gutter="0" w:footer="0" w:header="0"/>
        </w:sectPr>
      </w:pPr>
    </w:p>
    <w:bookmarkStart w:id="53" w:name="page54"/>
    <w:bookmarkEnd w:id="53"/>
    <w:p>
      <w:pPr>
        <w:jc w:val="both"/>
        <w:spacing w:after="0" w:line="476" w:lineRule="auto"/>
        <w:rPr>
          <w:sz w:val="20"/>
          <w:szCs w:val="20"/>
          <w:color w:val="auto"/>
        </w:rPr>
      </w:pPr>
      <w:r>
        <w:rPr>
          <w:rFonts w:ascii="Times New Roman" w:cs="Times New Roman" w:eastAsia="Times New Roman" w:hAnsi="Times New Roman"/>
          <w:sz w:val="22"/>
          <w:szCs w:val="22"/>
          <w:color w:val="auto"/>
        </w:rPr>
        <w:t>based on the Company’s performance against its cumulative EPS target, as adjusted by the TSR Modifier. That actual number of shares of Common Stock which would have been earned under the Award over the entire Performance Period, as adjusted by the TSR Modifier, will then be multiplied by a fraction the numerator of which is the number of days from the start of the Performance Period to the date that the Participant became disabled and the denominator of which is the total number of days in the Performance Period. This pro-rated number of shares will then be issuable to the Participant in the same manner as shares are issued to other Participants.</w:t>
      </w:r>
    </w:p>
    <w:p>
      <w:pPr>
        <w:jc w:val="both"/>
        <w:ind w:firstLine="476"/>
        <w:spacing w:after="0" w:line="475" w:lineRule="auto"/>
        <w:tabs>
          <w:tab w:leader="none" w:pos="76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who is an employee of the Company or of a direct or indirect subsidiary of the Company retires at either an Early Retirement Date or a Normal Retirement Date (each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target, as adjusted by the TSR Modifier. That actual number of shares of Common Stock which would have been earned under the Award over the entire Performance Period, as adjusted by the TSR Modifier,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w:t>
      </w:r>
    </w:p>
    <w:p>
      <w:pPr>
        <w:spacing w:after="0" w:line="1" w:lineRule="exact"/>
        <w:rPr>
          <w:rFonts w:ascii="Times New Roman" w:cs="Times New Roman" w:eastAsia="Times New Roman" w:hAnsi="Times New Roman"/>
          <w:sz w:val="22"/>
          <w:szCs w:val="22"/>
          <w:color w:val="auto"/>
        </w:rPr>
      </w:pPr>
    </w:p>
    <w:p>
      <w:pPr>
        <w:jc w:val="both"/>
        <w:ind w:firstLine="622"/>
        <w:spacing w:after="0" w:line="483" w:lineRule="auto"/>
        <w:tabs>
          <w:tab w:leader="none" w:pos="117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determined by the Committee (or, if delegated by the Committee, by a subcommittee of the Committee or an officer of the Company), if a Participant ceases to be employed by the Company or by a direct or indirect subsidiary of the Company before the Vesting Date for any reason other than the reasons set forth in subsections (a), (b) and (c) of this Section 9, including, without limitation, if Participant resigns from the Company (or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5" w:right="339" w:bottom="1440" w:gutter="0" w:footer="0" w:header="0"/>
        </w:sectPr>
      </w:pPr>
    </w:p>
    <w:bookmarkStart w:id="54" w:name="page55"/>
    <w:bookmarkEnd w:id="54"/>
    <w:p>
      <w:pPr>
        <w:jc w:val="both"/>
        <w:spacing w:after="0" w:line="482" w:lineRule="auto"/>
        <w:rPr>
          <w:sz w:val="20"/>
          <w:szCs w:val="20"/>
          <w:color w:val="auto"/>
        </w:rPr>
      </w:pPr>
      <w:r>
        <w:rPr>
          <w:rFonts w:ascii="Times New Roman" w:cs="Times New Roman" w:eastAsia="Times New Roman" w:hAnsi="Times New Roman"/>
          <w:sz w:val="22"/>
          <w:szCs w:val="22"/>
          <w:color w:val="auto"/>
        </w:rPr>
        <w:t>direct or indirect subsidiary of the Company) or the Participant’s employment is terminated by the Company (or a direct or indirect subsidiary of the Company) without cause or for cause or for any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 Award will be forfeited and the Participant will not have any further rights under the Award, including, without limitation, any rights to receive shares of Common Stock.</w:t>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purposes of subsections (a), (b) and (c) above:</w:t>
      </w:r>
    </w:p>
    <w:p>
      <w:pPr>
        <w:spacing w:after="0" w:line="125" w:lineRule="exact"/>
        <w:rPr>
          <w:sz w:val="20"/>
          <w:szCs w:val="20"/>
          <w:color w:val="auto"/>
        </w:rPr>
      </w:pPr>
    </w:p>
    <w:p>
      <w:pPr>
        <w:ind w:left="660" w:hanging="4"/>
        <w:spacing w:after="0" w:line="473" w:lineRule="auto"/>
        <w:tabs>
          <w:tab w:leader="none" w:pos="10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year of "Credited Service" shall mean a calendar year in which the Participant is paid for at least 1,000 hours of employment with the Company or of a subsidiary of the Company.</w:t>
      </w:r>
    </w:p>
    <w:p>
      <w:pPr>
        <w:spacing w:after="0" w:line="1" w:lineRule="exact"/>
        <w:rPr>
          <w:rFonts w:ascii="Times New Roman" w:cs="Times New Roman" w:eastAsia="Times New Roman" w:hAnsi="Times New Roman"/>
          <w:sz w:val="22"/>
          <w:szCs w:val="22"/>
          <w:color w:val="auto"/>
        </w:rPr>
      </w:pPr>
    </w:p>
    <w:p>
      <w:pPr>
        <w:jc w:val="both"/>
        <w:ind w:left="660" w:hanging="4"/>
        <w:spacing w:after="0" w:line="476" w:lineRule="auto"/>
        <w:tabs>
          <w:tab w:leader="none" w:pos="102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 with or immediately following the attainment of age fifty-five (55) and the completion of ten (l0) years of Credited Service, and "early retirement" shall mean retirement by an eligible Participant at the Early Retirement Date.</w:t>
      </w:r>
    </w:p>
    <w:p>
      <w:pPr>
        <w:spacing w:after="0" w:line="2"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Retirement Date" shall mean: the day on which a Participant who has attained age sixty-five (65) with five</w:t>
      </w:r>
    </w:p>
    <w:p>
      <w:pPr>
        <w:spacing w:after="0" w:line="246" w:lineRule="exact"/>
        <w:rPr>
          <w:rFonts w:ascii="Times New Roman" w:cs="Times New Roman" w:eastAsia="Times New Roman" w:hAnsi="Times New Roman"/>
          <w:sz w:val="22"/>
          <w:szCs w:val="22"/>
          <w:color w:val="auto"/>
        </w:rPr>
      </w:pPr>
    </w:p>
    <w:p>
      <w:pPr>
        <w:jc w:val="both"/>
        <w:ind w:left="660"/>
        <w:spacing w:after="0" w:line="48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or more years of Credited Service, retires. A Participant is eligible for normal retirement on the first day of the calendar month coincident with or immediately following the Participant's attainment of age sixty-five (65) and completion of five (5) or more years of Credited Service, and "normal retirement" shall mean the retirement by an eligible Participant at the Normal Retirement Date.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95" w:right="339" w:bottom="1440" w:gutter="0" w:footer="0" w:header="0"/>
        </w:sectPr>
      </w:pPr>
    </w:p>
    <w:bookmarkStart w:id="55" w:name="page56"/>
    <w:bookmarkEnd w:id="55"/>
    <w:p>
      <w:pPr>
        <w:jc w:val="both"/>
        <w:ind w:left="660" w:hanging="4"/>
        <w:spacing w:after="0" w:line="473" w:lineRule="auto"/>
        <w:tabs>
          <w:tab w:leader="none" w:pos="989" w:val="left"/>
        </w:tabs>
        <w:numPr>
          <w:ilvl w:val="3"/>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"Permanent physical or mental disability" shall mean: a Participant's inability to perform his or her job or any position which the Participant can reasonably perform with his or her background and training by reason of any medically determinable physical or mental impairment which can be expected to result in death or to be of long, continued and indefinite duration, all as determined by the Committee in its discretion.</w:t>
      </w:r>
    </w:p>
    <w:p>
      <w:pPr>
        <w:spacing w:after="0" w:line="3" w:lineRule="exact"/>
        <w:rPr>
          <w:rFonts w:ascii="Times New Roman" w:cs="Times New Roman" w:eastAsia="Times New Roman" w:hAnsi="Times New Roman"/>
          <w:sz w:val="22"/>
          <w:szCs w:val="22"/>
          <w:color w:val="auto"/>
        </w:rPr>
      </w:pPr>
    </w:p>
    <w:p>
      <w:pPr>
        <w:jc w:val="both"/>
        <w:ind w:firstLine="327"/>
        <w:spacing w:after="0" w:line="475" w:lineRule="auto"/>
        <w:tabs>
          <w:tab w:leader="none" w:pos="8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(as defined in the Plan) prior to the Vesting Date, this Award will be treated in accordance with the provisions of the Plan applicable to a Change in Control, provided, however, that for purposes of computing the payment due to the Participant as a result of a termination of employment following a Change in Control under the terms set forth in the Plan, (i) the full number of Target Shares will be used (as opposed to the actual number of shares, if any, that may be issuable based on performance through the date of the termination of employment following the Change in Control) and (ii) no pro-ration of the Award will be applied to account for less than the full Performance Period having had elapsed as of the date of the termination of employment following a Change in Control.</w:t>
      </w:r>
    </w:p>
    <w:p>
      <w:pPr>
        <w:spacing w:after="0" w:line="5"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adjustment provisions set forth in Section 8 of the Plan shall apply to this Award.</w:t>
      </w:r>
    </w:p>
    <w:p>
      <w:pPr>
        <w:spacing w:after="0" w:line="246" w:lineRule="exact"/>
        <w:rPr>
          <w:rFonts w:ascii="Times New Roman" w:cs="Times New Roman" w:eastAsia="Times New Roman" w:hAnsi="Times New Roman"/>
          <w:sz w:val="22"/>
          <w:szCs w:val="22"/>
          <w:color w:val="auto"/>
        </w:rPr>
      </w:pPr>
    </w:p>
    <w:p>
      <w:pPr>
        <w:jc w:val="both"/>
        <w:ind w:firstLine="272"/>
        <w:spacing w:after="0" w:line="477" w:lineRule="auto"/>
        <w:tabs>
          <w:tab w:leader="none" w:pos="787"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jc w:val="both"/>
        <w:ind w:firstLine="230"/>
        <w:spacing w:after="0" w:line="473" w:lineRule="auto"/>
        <w:tabs>
          <w:tab w:leader="none" w:pos="7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provisions of the Plan, and particularly to Section 7 of the Plan, this Agreement shall be binding upon and shall inure to the benefit of Participant, Participant’s successors and permitted assigns, and the Company and its successors and assigns.</w:t>
      </w:r>
    </w:p>
    <w:p>
      <w:pPr>
        <w:spacing w:after="0" w:line="2" w:lineRule="exact"/>
        <w:rPr>
          <w:rFonts w:ascii="Times New Roman" w:cs="Times New Roman" w:eastAsia="Times New Roman" w:hAnsi="Times New Roman"/>
          <w:sz w:val="22"/>
          <w:szCs w:val="22"/>
          <w:color w:val="auto"/>
        </w:rPr>
      </w:pPr>
    </w:p>
    <w:p>
      <w:pPr>
        <w:ind w:firstLine="274"/>
        <w:spacing w:after="0" w:line="501" w:lineRule="auto"/>
        <w:tabs>
          <w:tab w:leader="none" w:pos="79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and enforced in accordance with the internal laws of the State of Rhode Island and Providence Plantations and applicable Federal law.</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95" w:right="339" w:bottom="1440" w:gutter="0" w:footer="0" w:header="0"/>
        </w:sectPr>
      </w:pPr>
    </w:p>
    <w:bookmarkStart w:id="56" w:name="page57"/>
    <w:bookmarkEnd w:id="56"/>
    <w:p>
      <w:pPr>
        <w:jc w:val="both"/>
        <w:ind w:firstLine="380"/>
        <w:spacing w:after="0" w:line="473" w:lineRule="auto"/>
        <w:tabs>
          <w:tab w:leader="none" w:pos="101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provisions of this Agreement and, if applicable, the terms of the Participant’s Employment Agreement, the provisions set forth in the Employment Agreement shall control, provided that to the extent the provisions of this Agreement or the Participant’s Employment Agreement are inconsistent with the terms of the Plan, then the terms of the Plan shall control.</w:t>
      </w:r>
    </w:p>
    <w:p>
      <w:pPr>
        <w:spacing w:after="0" w:line="3" w:lineRule="exact"/>
        <w:rPr>
          <w:rFonts w:ascii="Times New Roman" w:cs="Times New Roman" w:eastAsia="Times New Roman" w:hAnsi="Times New Roman"/>
          <w:sz w:val="22"/>
          <w:szCs w:val="22"/>
          <w:color w:val="auto"/>
        </w:rPr>
      </w:pPr>
    </w:p>
    <w:p>
      <w:pPr>
        <w:jc w:val="both"/>
        <w:ind w:firstLine="284"/>
        <w:spacing w:after="0" w:line="478" w:lineRule="auto"/>
        <w:tabs>
          <w:tab w:leader="none" w:pos="82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95" w:right="339" w:bottom="1440" w:gutter="0" w:footer="0" w:header="0"/>
        </w:sectPr>
      </w:pPr>
    </w:p>
    <w:bookmarkStart w:id="57" w:name="page58"/>
    <w:bookmarkEnd w:id="57"/>
    <w:p>
      <w:pPr>
        <w:jc w:val="both"/>
        <w:ind w:firstLine="232"/>
        <w:spacing w:after="0" w:line="483" w:lineRule="auto"/>
        <w:rPr>
          <w:sz w:val="20"/>
          <w:szCs w:val="20"/>
          <w:color w:val="auto"/>
        </w:rPr>
      </w:pPr>
      <w:r>
        <w:rPr>
          <w:rFonts w:ascii="Times New Roman" w:cs="Times New Roman" w:eastAsia="Times New Roman" w:hAnsi="Times New Roman"/>
          <w:sz w:val="22"/>
          <w:szCs w:val="22"/>
          <w:color w:val="auto"/>
        </w:rPr>
        <w:t>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HASBRO, INC.</w:t>
      </w: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 Cocks</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Chris Cocks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5"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Criteria and Conditions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Target</w:t>
      </w:r>
      <w:r>
        <w:rPr>
          <w:rFonts w:ascii="Times New Roman" w:cs="Times New Roman" w:eastAsia="Times New Roman" w:hAnsi="Times New Roman"/>
          <w:sz w:val="22"/>
          <w:szCs w:val="22"/>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cumulative EPS target for the Performance Period is:</w:t>
      </w:r>
    </w:p>
    <w:p>
      <w:pPr>
        <w:spacing w:after="0" w:line="3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EPS:</w:t>
      </w:r>
      <w:r>
        <w:rPr>
          <w:sz w:val="20"/>
          <w:szCs w:val="20"/>
          <w:color w:val="auto"/>
        </w:rPr>
        <w:tab/>
      </w:r>
      <w:r>
        <w:rPr>
          <w:rFonts w:ascii="Times New Roman" w:cs="Times New Roman" w:eastAsia="Times New Roman" w:hAnsi="Times New Roman"/>
          <w:sz w:val="22"/>
          <w:szCs w:val="22"/>
          <w:color w:val="auto"/>
        </w:rPr>
        <w:t>$______</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 purposes of this Agreement, the Company’s cumulative EPS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Further, EPS will be calculated based on actual results translated at exchange rates established at the beginning of the Performance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total number of shares of Common Stock which may be issuable under this Award will be equal to the product of the (i) the Target Shares and (ii) the Payout Factor set forth below, subject to adjustment for the TSR Modifier as described below (with any fractional shares rounded up to the next whole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Payout Factor for EPS Metric:</w:t>
      </w:r>
    </w:p>
    <w:p>
      <w:pPr>
        <w:spacing w:after="0" w:line="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EPS metric is weighted at 100%. The payout percentage for the EPS metric shall be determined resulting in a total payout factor (the “Payout Factor”), prior to the adjustment for the TSR Modifier. By way of example, if performance for the cumulative EPS metric is achieved at 80% (i.e., threshold), then the payout for that metric would be 50%, resulting in an overall Payout Factor (prior to adjustment for the TSR Modifier) of 50% (i.e., 100% weighting x 50% payout for the EPS metric.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In the event that achievement for a metric is between threshold (80%) and target (100%) or between target (100%) and maximum (125% for cumulative EPS performance, the applicable payout percentage will be determined by linear interpolation between threshold and target performance or target and maximum performance,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is no payout for the EPS metric if achievement is less than threshold.</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EPS</w:t>
            </w:r>
          </w:p>
        </w:tc>
        <w:tc>
          <w:tcPr>
            <w:tcW w:w="218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Achievement</w:t>
            </w:r>
          </w:p>
        </w:tc>
        <w:tc>
          <w:tcPr>
            <w:tcW w:w="172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Payout</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Less than $____</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$____ (Threshold)</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$_____ (Target)</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$______ (Maximum)</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Adjustment for TSR Modifier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13" w:right="339" w:bottom="1440" w:gutter="0" w:footer="0" w:header="0"/>
        </w:sectPr>
      </w:pPr>
    </w:p>
    <w:bookmarkStart w:id="59" w:name="page60"/>
    <w:bookmarkEnd w:id="59"/>
    <w:p>
      <w:pPr>
        <w:spacing w:after="0" w:line="271" w:lineRule="auto"/>
        <w:rPr>
          <w:sz w:val="20"/>
          <w:szCs w:val="20"/>
          <w:color w:val="auto"/>
        </w:rPr>
      </w:pPr>
      <w:r>
        <w:rPr>
          <w:rFonts w:ascii="Times New Roman" w:cs="Times New Roman" w:eastAsia="Times New Roman" w:hAnsi="Times New Roman"/>
          <w:sz w:val="22"/>
          <w:szCs w:val="22"/>
          <w:color w:val="auto"/>
        </w:rPr>
        <w:t>The number of shares earned based on the Payout Factor, as determined above, is subject to a +/- 25% modifier based on the Company’s TSR Performance against the TSR Comparator Group over the TSR Performance Period.</w:t>
      </w:r>
    </w:p>
    <w:p>
      <w:pPr>
        <w:spacing w:after="0" w:line="185" w:lineRule="exact"/>
        <w:rPr>
          <w:sz w:val="20"/>
          <w:szCs w:val="20"/>
          <w:color w:val="auto"/>
        </w:rPr>
      </w:pPr>
    </w:p>
    <w:p>
      <w:pPr>
        <w:jc w:val="both"/>
        <w:ind w:left="660" w:hanging="328"/>
        <w:spacing w:after="0" w:line="263"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TSR Performance is below the 25th percentile of the TSR Performance of the TSR Comparator Group over the TSR Performance Period, then the number of shares earned according to the Payout Factor will be reduced by 25%.</w:t>
      </w:r>
    </w:p>
    <w:p>
      <w:pPr>
        <w:spacing w:after="0" w:line="194"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TSR Performance is greater than the 75th percentile of the TSR Performance of the TSR Comparator Group over the TSR Performance Period, then the number of shares earned according to the Payout Factor will be increased by 25%.</w:t>
      </w:r>
    </w:p>
    <w:p>
      <w:pPr>
        <w:spacing w:after="0" w:line="213"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earned based on the Payout Factor will not be modified if the Company’s TSR Performance is between the 25th and 75th percentile of the TSR Performance of the TSR Comparator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definitions shall apply for the purpose of applying the TSR Modifier: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TSR Performance Calculation</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Hasbro’s stock price change + Dividends (assumed reinvested) divided by the beginning stock price. The change in stock price will be calculated using a 20-trading average closing stock price including adjustments for cash and stock dividends prior to the beginning and the end of the performance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Beginning Stock Price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The beginning stock price will be determined using the 20-trading day average closing stock price ending on the first day of the performance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Ending Stock Price</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The ending stock price will be determined using the 20-trading day average closing stock price ending on the last day of the performance period.</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20-Trading Day Average Closing Price</w:t>
      </w:r>
      <w:r>
        <w:rPr>
          <w:rFonts w:ascii="Times New Roman" w:cs="Times New Roman" w:eastAsia="Times New Roman" w:hAnsi="Times New Roman"/>
          <w:sz w:val="22"/>
          <w:szCs w:val="22"/>
          <w:color w:val="auto"/>
        </w:rPr>
        <w:t>” means the average of the closing transaction prices of a share of Common Stock of the Company, as reported on the principal national stock exchange on which such Common Stock is traded for the 20 business days immediately preceding the date for which the average stock price is being determined.</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Comparator Group</w:t>
      </w:r>
      <w:r>
        <w:rPr>
          <w:rFonts w:ascii="Times New Roman" w:cs="Times New Roman" w:eastAsia="Times New Roman" w:hAnsi="Times New Roman"/>
          <w:sz w:val="22"/>
          <w:szCs w:val="22"/>
          <w:color w:val="auto"/>
        </w:rPr>
        <w:t>” means the S&amp;P 500. For purposes of determining TSR Performance with respect to the TSR Performance Period, the companies included in S&amp;P 500 shall be determined at the beginning of the TSR Performance Period, excluding those entities that are bankrupt, listed on the pink sheets or not listed at all. Should a company within the TSR Comparator Group become bankrupt after the start of the TSR Performance Period, they shall be assigned a TSR of -100%. Companies emerging from bankruptcy shall not be tracked for purposes of the current TSR Performance Period. If a company is acquired during the TSR Performance Period or is taken private, it will be eliminated for the entire measurement period. Companies with stock splits or recapitalizations during the TSR Performance Period will have their opening share price adjusted for the split or recapitalization. If two companies within the TSR Comparator Group merge, only the surviving entity shall be counted. Should a company within the TSR Comparator Group merge with a company outside of the TSR Comparator Group, then that entity shall be excluded from the final calculation.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7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u w:val="single" w:color="auto"/>
          <w:color w:val="auto"/>
        </w:rPr>
        <w:t>Percentile Rank</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Hasbro’s percentile rank compared to the comparator companies (excluding Hasbro) is determined by interpolating between the percentile ranks for the comparator companies immediately above and below them based on differences in TSR.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Adjustments</w:t>
      </w:r>
    </w:p>
    <w:p>
      <w:pPr>
        <w:spacing w:after="0" w:line="31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2"/>
          <w:szCs w:val="22"/>
          <w:color w:val="auto"/>
        </w:rPr>
        <w:t>The EPS metric will be computed excluding the impact of the following events or activities which occur during the Performance Period:</w:t>
      </w:r>
    </w:p>
    <w:p>
      <w:pPr>
        <w:spacing w:after="0" w:line="171" w:lineRule="exact"/>
        <w:rPr>
          <w:sz w:val="20"/>
          <w:szCs w:val="20"/>
          <w:color w:val="auto"/>
        </w:rPr>
      </w:pPr>
    </w:p>
    <w:p>
      <w:pPr>
        <w:ind w:left="960" w:hanging="952"/>
        <w:spacing w:after="0"/>
        <w:tabs>
          <w:tab w:leader="none" w:pos="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adjustments, including but not limited to:</w:t>
      </w:r>
    </w:p>
    <w:p>
      <w:pPr>
        <w:spacing w:after="0" w:line="27" w:lineRule="exact"/>
        <w:rPr>
          <w:rFonts w:ascii="Times New Roman" w:cs="Times New Roman" w:eastAsia="Times New Roman" w:hAnsi="Times New Roman"/>
          <w:sz w:val="22"/>
          <w:szCs w:val="22"/>
          <w:color w:val="auto"/>
        </w:rPr>
      </w:pPr>
    </w:p>
    <w:p>
      <w:pPr>
        <w:ind w:left="1300" w:hanging="320"/>
        <w:spacing w:after="0" w:line="243" w:lineRule="auto"/>
        <w:tabs>
          <w:tab w:leader="none" w:pos="128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Hasbro Transformation Office (“HTO”) charges, including severance, consulting fees and other one-time costs associated with the transformation program.</w:t>
      </w:r>
    </w:p>
    <w:p>
      <w:pPr>
        <w:ind w:left="1300" w:hanging="320"/>
        <w:spacing w:after="0"/>
        <w:tabs>
          <w:tab w:leader="none" w:pos="13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eOne acquisition intangible amortization; and</w:t>
      </w:r>
    </w:p>
    <w:p>
      <w:pPr>
        <w:spacing w:after="0" w:line="5" w:lineRule="exact"/>
        <w:rPr>
          <w:rFonts w:ascii="Times New Roman" w:cs="Times New Roman" w:eastAsia="Times New Roman" w:hAnsi="Times New Roman"/>
          <w:sz w:val="22"/>
          <w:szCs w:val="22"/>
          <w:color w:val="auto"/>
        </w:rPr>
      </w:pPr>
    </w:p>
    <w:p>
      <w:pPr>
        <w:ind w:left="1300" w:hanging="320"/>
        <w:spacing w:after="0" w:line="248" w:lineRule="auto"/>
        <w:tabs>
          <w:tab w:leader="none" w:pos="128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Non-GAAP adjustments not contemplated in the plan, including non-cash impairment charges, acquisition or divestiture costs, and other restructuring events outside of the HTO program.</w:t>
      </w:r>
    </w:p>
    <w:p>
      <w:pPr>
        <w:spacing w:after="0" w:line="1" w:lineRule="exact"/>
        <w:rPr>
          <w:rFonts w:ascii="Times New Roman" w:cs="Times New Roman" w:eastAsia="Times New Roman" w:hAnsi="Times New Roman"/>
          <w:sz w:val="22"/>
          <w:szCs w:val="22"/>
          <w:color w:val="auto"/>
        </w:rPr>
      </w:pPr>
    </w:p>
    <w:p>
      <w:pPr>
        <w:ind w:left="540" w:hanging="532"/>
        <w:spacing w:after="0"/>
        <w:tabs>
          <w:tab w:leader="none" w:pos="5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results of any material divesture or acquisition made by the Company in any fiscal year during the Performance Period.</w:t>
      </w:r>
    </w:p>
    <w:p>
      <w:pPr>
        <w:spacing w:after="0" w:line="15" w:lineRule="exact"/>
        <w:rPr>
          <w:rFonts w:ascii="Times New Roman" w:cs="Times New Roman" w:eastAsia="Times New Roman" w:hAnsi="Times New Roman"/>
          <w:sz w:val="21"/>
          <w:szCs w:val="21"/>
          <w:color w:val="auto"/>
        </w:rPr>
      </w:pPr>
    </w:p>
    <w:p>
      <w:pPr>
        <w:jc w:val="both"/>
        <w:ind w:left="660" w:hanging="652"/>
        <w:spacing w:after="0" w:line="247" w:lineRule="auto"/>
        <w:tabs>
          <w:tab w:leader="none" w:pos="64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one-time, non-operating or other significant unbudgeted costs or expenses in excess of $25 million in any fiscal year during the Performance Period, which costs, or expenses are related to changes in accounting rules that are effective after the date of this Agreement.</w:t>
      </w:r>
    </w:p>
    <w:p>
      <w:pPr>
        <w:spacing w:after="0" w:line="1" w:lineRule="exact"/>
        <w:rPr>
          <w:rFonts w:ascii="Times New Roman" w:cs="Times New Roman" w:eastAsia="Times New Roman" w:hAnsi="Times New Roman"/>
          <w:sz w:val="22"/>
          <w:szCs w:val="22"/>
          <w:color w:val="auto"/>
        </w:rPr>
      </w:pPr>
    </w:p>
    <w:p>
      <w:pPr>
        <w:jc w:val="both"/>
        <w:ind w:left="660" w:hanging="652"/>
        <w:spacing w:after="0" w:line="243" w:lineRule="auto"/>
        <w:tabs>
          <w:tab w:leader="none" w:pos="63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one-time, non-operating or other significant unbudgeted costs or expenses in excess of $25 million in any fiscal year during the Performance Period, which costs, or expenses relate to litigations, arbitrations, or regulatory matters, or cash settlements.</w:t>
      </w:r>
    </w:p>
    <w:p>
      <w:pPr>
        <w:spacing w:after="0" w:line="1" w:lineRule="exact"/>
        <w:rPr>
          <w:rFonts w:ascii="Times New Roman" w:cs="Times New Roman" w:eastAsia="Times New Roman" w:hAnsi="Times New Roman"/>
          <w:sz w:val="22"/>
          <w:szCs w:val="22"/>
          <w:color w:val="auto"/>
        </w:rPr>
      </w:pPr>
    </w:p>
    <w:p>
      <w:pPr>
        <w:ind w:left="660" w:hanging="652"/>
        <w:spacing w:after="0" w:line="255" w:lineRule="auto"/>
        <w:tabs>
          <w:tab w:leader="none" w:pos="61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Unanticipated one-time operational or tax costs associated with changes to the US or international tax codes that impact cash flow, operating profit and/or tax expense in excess of $25 million in any fiscal year during the Performance Period.</w:t>
      </w:r>
    </w:p>
    <w:p>
      <w:pPr>
        <w:spacing w:after="0" w:line="1" w:lineRule="exact"/>
        <w:rPr>
          <w:rFonts w:ascii="Times New Roman" w:cs="Times New Roman" w:eastAsia="Times New Roman" w:hAnsi="Times New Roman"/>
          <w:sz w:val="21"/>
          <w:szCs w:val="21"/>
          <w:color w:val="auto"/>
        </w:rPr>
      </w:pPr>
    </w:p>
    <w:p>
      <w:pPr>
        <w:ind w:left="660" w:hanging="652"/>
        <w:spacing w:after="0" w:line="248" w:lineRule="auto"/>
        <w:tabs>
          <w:tab w:leader="none" w:pos="63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customer bankruptcy or significant financial issue that is estimated to have an impact on the Company’s net sales of $100,000,000 or more over the Performance Period.</w:t>
      </w:r>
    </w:p>
    <w:p>
      <w:pPr>
        <w:spacing w:after="0" w:line="1" w:lineRule="exact"/>
        <w:rPr>
          <w:rFonts w:ascii="Times New Roman" w:cs="Times New Roman" w:eastAsia="Times New Roman" w:hAnsi="Times New Roman"/>
          <w:sz w:val="22"/>
          <w:szCs w:val="22"/>
          <w:color w:val="auto"/>
        </w:rPr>
      </w:pPr>
    </w:p>
    <w:p>
      <w:pPr>
        <w:jc w:val="both"/>
        <w:ind w:left="660" w:hanging="652"/>
        <w:spacing w:after="0" w:line="245" w:lineRule="auto"/>
        <w:tabs>
          <w:tab w:leader="none" w:pos="7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unanticipated or unbudgeted payments outside the normal course of business in any fiscal year during the Performance Period related to unanticipated tax payments greater than $25 million or contract amendments, renewals, or arrangements greater than $25 million.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HASBRO,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2003 STOCK INCENTIVE PERFORMANCE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This RESTRICTED STOCK UNIT AWARD AGREEMENT, which is entered into effective as of _______, 2024 (the “Grant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is made by and between _____________________ (the “Participant”) and Hasbro, Inc. (the “Company”).</w:t>
      </w:r>
    </w:p>
    <w:p>
      <w:pPr>
        <w:spacing w:after="0" w:line="223" w:lineRule="exact"/>
        <w:rPr>
          <w:sz w:val="20"/>
          <w:szCs w:val="20"/>
          <w:color w:val="auto"/>
        </w:rPr>
      </w:pPr>
    </w:p>
    <w:p>
      <w:pPr>
        <w:ind w:firstLine="334"/>
        <w:spacing w:after="0" w:line="271" w:lineRule="auto"/>
        <w:rPr>
          <w:sz w:val="20"/>
          <w:szCs w:val="20"/>
          <w:color w:val="auto"/>
        </w:rPr>
      </w:pPr>
      <w:r>
        <w:rPr>
          <w:rFonts w:ascii="Times New Roman" w:cs="Times New Roman" w:eastAsia="Times New Roman" w:hAnsi="Times New Roman"/>
          <w:sz w:val="22"/>
          <w:szCs w:val="22"/>
          <w:color w:val="auto"/>
        </w:rPr>
        <w:t>WHEREAS, the Company maintains the Hasbro, Inc. Restated 2003 Stock Incentive Performance Plan, as amended (the “Plan”) and has selected the Participant to receive this Restricted Stock Unit award.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the Participant, as follows:</w:t>
      </w:r>
    </w:p>
    <w:p>
      <w:pPr>
        <w:spacing w:after="0" w:line="260"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Agreement</w:t>
      </w:r>
      <w:r>
        <w:rPr>
          <w:rFonts w:ascii="Times New Roman" w:cs="Times New Roman" w:eastAsia="Times New Roman" w:hAnsi="Times New Roman"/>
          <w:sz w:val="21"/>
          <w:szCs w:val="21"/>
          <w:color w:val="auto"/>
        </w:rPr>
        <w:t>. The following are the terms and conditions of this Restricted Stock Unit award (the “Agreement”):</w:t>
      </w:r>
    </w:p>
    <w:p>
      <w:pPr>
        <w:spacing w:after="0" w:line="258" w:lineRule="exact"/>
        <w:rPr>
          <w:rFonts w:ascii="Times New Roman" w:cs="Times New Roman" w:eastAsia="Times New Roman" w:hAnsi="Times New Roman"/>
          <w:sz w:val="21"/>
          <w:szCs w:val="21"/>
          <w:color w:val="auto"/>
        </w:rPr>
      </w:pPr>
    </w:p>
    <w:p>
      <w:pPr>
        <w:ind w:firstLine="656"/>
        <w:spacing w:after="0" w:line="271" w:lineRule="auto"/>
        <w:tabs>
          <w:tab w:leader="none" w:pos="129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hereby granted _______ Stock Units, subject to and conditioned upon the terms and conditions of this Agreement as set forth herein.</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Schedule” for Stock Units subject to this Agreement is as follows:</w:t>
      </w:r>
    </w:p>
    <w:p>
      <w:pPr>
        <w:spacing w:after="0" w:line="200" w:lineRule="exact"/>
        <w:rPr>
          <w:sz w:val="20"/>
          <w:szCs w:val="20"/>
          <w:color w:val="auto"/>
        </w:rPr>
      </w:pPr>
    </w:p>
    <w:p>
      <w:pPr>
        <w:spacing w:after="0" w:line="310" w:lineRule="exact"/>
        <w:rPr>
          <w:sz w:val="20"/>
          <w:szCs w:val="20"/>
          <w:color w:val="auto"/>
        </w:rPr>
      </w:pPr>
    </w:p>
    <w:tbl>
      <w:tblPr>
        <w:tblLayout w:type="fixed"/>
        <w:tblInd w:w="670" w:type="dxa"/>
        <w:tblCellMar>
          <w:top w:w="0" w:type="dxa"/>
          <w:left w:w="0" w:type="dxa"/>
          <w:bottom w:w="0" w:type="dxa"/>
          <w:right w:w="0" w:type="dxa"/>
        </w:tblCellMar>
      </w:tblPr>
      <w:tr>
        <w:trPr>
          <w:trHeight w:val="283"/>
        </w:trPr>
        <w:tc>
          <w:tcPr>
            <w:tcW w:w="486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Vest Quantity</w:t>
            </w:r>
          </w:p>
        </w:tc>
      </w:tr>
      <w:tr>
        <w:trPr>
          <w:trHeight w:val="263"/>
        </w:trPr>
        <w:tc>
          <w:tcPr>
            <w:tcW w:w="4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D-MM-2025</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_______</w:t>
            </w:r>
          </w:p>
        </w:tc>
      </w:tr>
      <w:tr>
        <w:trPr>
          <w:trHeight w:val="264"/>
        </w:trPr>
        <w:tc>
          <w:tcPr>
            <w:tcW w:w="4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D-MM-2026</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_______</w:t>
            </w:r>
          </w:p>
        </w:tc>
      </w:tr>
      <w:tr>
        <w:trPr>
          <w:trHeight w:val="263"/>
        </w:trPr>
        <w:tc>
          <w:tcPr>
            <w:tcW w:w="4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D-MM-2027</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_______</w:t>
            </w:r>
          </w:p>
        </w:tc>
      </w:tr>
    </w:tbl>
    <w:p>
      <w:pPr>
        <w:spacing w:after="0" w:line="324" w:lineRule="exact"/>
        <w:rPr>
          <w:sz w:val="20"/>
          <w:szCs w:val="20"/>
          <w:color w:val="auto"/>
        </w:rPr>
      </w:pPr>
    </w:p>
    <w:p>
      <w:pPr>
        <w:jc w:val="both"/>
        <w:ind w:firstLine="656"/>
        <w:spacing w:after="0" w:line="257" w:lineRule="auto"/>
        <w:tabs>
          <w:tab w:leader="none" w:pos="12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Units are notional shares of the Company’s common stock, par value $.50 per share (“Common Stock”) granted under this Agreement and subject to the terms of this Agreement and the Plan, the provisions of which are incorporated herein as if set forth in full.</w:t>
      </w:r>
    </w:p>
    <w:p>
      <w:pPr>
        <w:spacing w:after="0" w:line="19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notified by the Company or its equity plan administrator that Participant is required to enter into a Non-Competition, Non-Solicitation and Confidentiality Agreement with the Company, this Agreement shall be contingent upon and subject to the Participant (i) executing and delivering to the Company a Non-Competition, Non-Solicitation and Confidentiality Agreement by and between the Participant and the Company, in a form prescribed by and no later than a date designated by the Company; or (ii) confirming and agreeing that Participant remains bound by and subject to the terms of Participant’s previously executed Non-Competition,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8" w:right="339" w:bottom="1440" w:gutter="0" w:footer="0" w:header="0"/>
        </w:sectPr>
      </w:pPr>
    </w:p>
    <w:bookmarkStart w:id="62" w:name="page63"/>
    <w:bookmarkEnd w:id="62"/>
    <w:p>
      <w:pPr>
        <w:jc w:val="both"/>
        <w:spacing w:after="0" w:line="250" w:lineRule="auto"/>
        <w:rPr>
          <w:sz w:val="20"/>
          <w:szCs w:val="20"/>
          <w:color w:val="auto"/>
        </w:rPr>
      </w:pPr>
      <w:r>
        <w:rPr>
          <w:rFonts w:ascii="Times New Roman" w:cs="Times New Roman" w:eastAsia="Times New Roman" w:hAnsi="Times New Roman"/>
          <w:sz w:val="22"/>
          <w:szCs w:val="22"/>
          <w:color w:val="auto"/>
        </w:rPr>
        <w:t>Non-Solicitation and Confidentiality Agreement(s), which confirmation and agreement will occur upon your acceptance of this Agreement. For the avoidance of doubt, if the Participant has not executed and delivered to the Company a Non-Competition, Non-Solicitation and Confidentiality Agreement or confirmed and agreed (through acceptance of this Agreement) to the terms of the Participant’s existing Non-Competition, Non-Solicitation and Confidentiality Agreements no later than 90 days from the Grant Date, this Agreement and the grant of Stock Units represented by this Agreement will not take effect and will be null and void. The acknowledgements and agreements set forth in this section are material conditions to receiving this Agreement, which would not have been made to the Participant otherwise.</w:t>
      </w:r>
    </w:p>
    <w:p>
      <w:pPr>
        <w:spacing w:after="0" w:line="207" w:lineRule="exact"/>
        <w:rPr>
          <w:sz w:val="20"/>
          <w:szCs w:val="20"/>
          <w:color w:val="auto"/>
        </w:rPr>
      </w:pPr>
    </w:p>
    <w:p>
      <w:pPr>
        <w:jc w:val="both"/>
        <w:ind w:firstLine="656"/>
        <w:spacing w:after="0" w:line="250"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Agreement, the Participant hereby acknowledges and agrees that this Agreement, any Stock Units or shares of Common Stock the Participant may become entitled to pursuant to this Agreement, any proceeds received upon the sale of any such shares of Common Stock, and any other incentive compensation the Company grants to the Participant, is subject to the Company’s Clawback Policy, as it may be amended from time to time by the Board in the future. Additionally, by accepting this Agreement, the Participant hereby acknowledges and agrees that if the Participant is or becomes subject to the Hasbro, Inc. Executive Stock Ownership Policy, then the Participant shall comply with the terms of such Stock Ownership Policy. The acknowledgements and agreements set forth in this section are material conditions to receiving this Agreement, which would not have been made to the Participant otherwise.</w:t>
      </w:r>
    </w:p>
    <w:p>
      <w:pPr>
        <w:spacing w:after="0" w:line="21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7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record-keeping purposes only, the Company shall maintain an account with respect to this Agreement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to the number of Stock Units subject to this Agreement. The Stock Unit Account will reflect notional fractional shares of Common Stock to the nearest hundredth of a share on a one Stock Unit for one share of Common Stock basis.</w:t>
      </w:r>
    </w:p>
    <w:p>
      <w:pPr>
        <w:spacing w:after="0" w:line="20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terms used in this Agreement are defined pursuant to Section 7 or elsewhere in this Agreement or the Plan.</w:t>
      </w:r>
    </w:p>
    <w:p>
      <w:pPr>
        <w:spacing w:after="0" w:line="258" w:lineRule="exact"/>
        <w:rPr>
          <w:rFonts w:ascii="Times New Roman" w:cs="Times New Roman" w:eastAsia="Times New Roman" w:hAnsi="Times New Roman"/>
          <w:sz w:val="21"/>
          <w:szCs w:val="21"/>
          <w:color w:val="auto"/>
        </w:rPr>
      </w:pPr>
    </w:p>
    <w:p>
      <w:pPr>
        <w:jc w:val="both"/>
        <w:ind w:firstLine="8"/>
        <w:spacing w:after="0" w:line="250" w:lineRule="auto"/>
        <w:tabs>
          <w:tab w:leader="none" w:pos="6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Voting Rights</w:t>
      </w:r>
      <w:r>
        <w:rPr>
          <w:rFonts w:ascii="Times New Roman" w:cs="Times New Roman" w:eastAsia="Times New Roman" w:hAnsi="Times New Roman"/>
          <w:sz w:val="22"/>
          <w:szCs w:val="22"/>
          <w:color w:val="auto"/>
        </w:rPr>
        <w:t>. On the date that the Company pays a cash dividend to holders of Common Stock, unless otherwise determined by the Compensation Committee of the Company’s Board of Directors (the “Committee”) in its sole discretion, the Company shall credit each unvested Stock Unit with a dividend equivalent unit (“DEU”). DEUs will be calculated at the same dividend rate paid to other holders of shares of Common Stock and will equal the total number of unvested Stock Units multiplied by the dollar amount of the cash dividend paid per share of Common Stock by the Company on such date divided by the Fair Market Value (as defined in the Plan) of a share of Common Stock on such date. DEUs will be credited in whole shares only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22"/>
          <w:szCs w:val="22"/>
          <w:color w:val="auto"/>
        </w:rPr>
        <w:t>any residual amount that cannot be converted to a whole share shall be aggregated with the immediately following dividend and used to calculate the DEUs attributable to such dividend, as described above. DEUs shall be subject to the same terms and conditions as the underlying Stock Units and will vest in accordance with the Vesting Schedule. The Participant shall not be entitled to any voting rights with respect to the Stock Units or DEUs prior to vesting.</w:t>
      </w:r>
    </w:p>
    <w:p>
      <w:pPr>
        <w:spacing w:after="0" w:line="203" w:lineRule="exact"/>
        <w:rPr>
          <w:sz w:val="20"/>
          <w:szCs w:val="20"/>
          <w:color w:val="auto"/>
        </w:rPr>
      </w:pPr>
    </w:p>
    <w:p>
      <w:pPr>
        <w:jc w:val="both"/>
        <w:ind w:firstLine="8"/>
        <w:spacing w:after="0" w:line="268" w:lineRule="auto"/>
        <w:tabs>
          <w:tab w:leader="none" w:pos="64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Units</w:t>
      </w:r>
      <w:r>
        <w:rPr>
          <w:rFonts w:ascii="Times New Roman" w:cs="Times New Roman" w:eastAsia="Times New Roman" w:hAnsi="Times New Roman"/>
          <w:sz w:val="21"/>
          <w:szCs w:val="21"/>
          <w:color w:val="auto"/>
        </w:rPr>
        <w:t>. Stock Units subject to this Agreement shall vest in accordance with the Vesting Schedule; provided, however, that the Participant remains employed by the Company through and including the last day of the applicable vesting date(s); and further provided, however, that Stock Units may vest earlier (either in whole or in part, as applicable) only in the situations and under the terms and conditions which are explicitly provided for in the following paragraphs.</w:t>
      </w:r>
    </w:p>
    <w:p>
      <w:pPr>
        <w:spacing w:after="0" w:line="203" w:lineRule="exact"/>
        <w:rPr>
          <w:rFonts w:ascii="Times New Roman" w:cs="Times New Roman" w:eastAsia="Times New Roman" w:hAnsi="Times New Roman"/>
          <w:sz w:val="21"/>
          <w:szCs w:val="21"/>
          <w:color w:val="auto"/>
        </w:rPr>
      </w:pPr>
    </w:p>
    <w:p>
      <w:pPr>
        <w:jc w:val="both"/>
        <w:ind w:firstLine="656"/>
        <w:spacing w:after="0" w:line="257" w:lineRule="auto"/>
        <w:tabs>
          <w:tab w:leader="none" w:pos="129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Vesting Schedule, in connection with a Change in Control (as defined below), the Stock Units will be treated in the manner set forth in the Plan, as such Plan has been amended by the Company’s shareholders through the date of such Change in Control.</w:t>
      </w:r>
    </w:p>
    <w:p>
      <w:pPr>
        <w:spacing w:after="0" w:line="19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Vesting Schedule, if the Participant terminates employment with the Company prior to the end of the Vesting Schedule due to (i) the Participant’s Retirement (as defined below); or (ii) after the one-year anniversary of the Participant’s hire date, the Participant’s death or Disability (as defined below), the Participant will be entitled, as of such Participant’s Date of Termination, to a pro-rata portion of unvested Stock Units subject to this Award calculated by multiplying the total number of unvested Stock Units subject to this Award by a fraction, the numerator of which is the number of days from the Grant Date or, if later, the most recent vesting date set forth in the Vesting Schedule that immediately precedes the Participant’s Date of Termination, through and including the Participant’s Date of Termination and the denominator of which is the number of days from the Grant Date or, if later, the most recent vesting date set forth in the Vesting Schedule that immediately precedes the Participant’s Date of Termination through and including the last vesting date in the Vesting Schedule. The Participant will forfeit any unvested Stock Units subject to this Award which do not vest in accordance with the provisions of this paragraph.</w:t>
      </w:r>
    </w:p>
    <w:p>
      <w:pPr>
        <w:spacing w:after="0" w:line="21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Date of Termination occurs prior to the end of the Vesting Schedule for any reason other than the reasons set forth in the preceding sections,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then all unvested Stock Units subject to this Agreement shall be forfeited, effective as of the Participant’s Date of Termination, and the Participant shall not be entitled to any rights or benefits of this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64" w:name="page65"/>
    <w:bookmarkEnd w:id="64"/>
    <w:p>
      <w:pPr>
        <w:spacing w:after="0" w:line="225" w:lineRule="exact"/>
        <w:rPr>
          <w:sz w:val="20"/>
          <w:szCs w:val="20"/>
          <w:color w:val="auto"/>
        </w:rPr>
      </w:pPr>
    </w:p>
    <w:p>
      <w:pPr>
        <w:ind w:right="20" w:firstLine="656"/>
        <w:spacing w:after="0" w:line="271" w:lineRule="auto"/>
        <w:tabs>
          <w:tab w:leader="none" w:pos="129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Units subject to this Agreement may not be sold, assigned, transferred, pledged, or otherwise encumbered, except to the extent otherwise provided by either the terms of the Plan or by the Committee.</w:t>
      </w:r>
    </w:p>
    <w:p>
      <w:pPr>
        <w:spacing w:after="0" w:line="184"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in Shares of Common Stock</w:t>
      </w:r>
      <w:r>
        <w:rPr>
          <w:rFonts w:ascii="Times New Roman" w:cs="Times New Roman" w:eastAsia="Times New Roman" w:hAnsi="Times New Roman"/>
          <w:sz w:val="22"/>
          <w:szCs w:val="22"/>
          <w:color w:val="auto"/>
        </w:rPr>
        <w:t>. Provided that the Participant’s interest in Stock Units subject to this Agreement has become vested, in whole or in part, in accordance with these terms and conditions, such Stock Units shall be delivered to the Participant on the vesting date in actual shares of Common Stock. Such vesting shall occur on the applicable vesting date as set forth in the Vesting Schedule; provided, however, that if Section 3.A (termination of employment in connection with a Change in Control) or Section 3.B. (termination of employment due to Retirement, death or Disability) applies, such vesting shall occur effective on the Participant’s Date of Termination. The conversion of Stock Units will occur on the basis of one share of Common Stock for every one Stock Unit (including associated DEUs) which vests. Such shares of Common Stock shall be registered in the name of the Participant effective as of the date of conversion and shall be delivered to the Participant within a reasonable time thereafter in the manner determined in the sole discretion of the Company, which may be by electronic delivery to the Participant’s stock plan account or in such other manner as determined in the sole discretion of the Company.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219"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The Participant shall pay to the Company promptly upon request, and in any event at the time the Participant recognizes taxable income in respect of the shares of Common Stock received by the Participant upon the conversion of all or a portion of Stock Units subject to this Agreement, an amount equal to the taxes the Company determines it is required to withhold under applicable law with respect to such shares of Common Stock. Such payment shall be made in the form of cash, the delivery of shares of Common Stock already owned by the Participant or by withholding such number of shares otherwise deliverable pursuant to this Agreement as is equal to the withholding tax due or in any combination of such methods. If the Participant does not affirmatively instruct the Company prior to the applicable vesting date, in such manner and at such time as determined in the sole discretion of the Company, that such Participant will pay withholding taxes in another manner specified above, the Company shall withhold shares to cover applicable taxes upon the settlement of the Agreement.</w:t>
      </w:r>
    </w:p>
    <w:p>
      <w:pPr>
        <w:spacing w:after="0" w:line="22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terms used herein are defined as follows:</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The term “Change in Control” shall have the meaning ascribed to it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65" w:name="page66"/>
    <w:bookmarkEnd w:id="65"/>
    <w:p>
      <w:pPr>
        <w:jc w:val="both"/>
        <w:ind w:firstLine="656"/>
        <w:spacing w:after="0" w:line="257" w:lineRule="auto"/>
        <w:tabs>
          <w:tab w:leader="none" w:pos="129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Credited Service</w:t>
      </w:r>
      <w:r>
        <w:rPr>
          <w:rFonts w:ascii="Times New Roman" w:cs="Times New Roman" w:eastAsia="Times New Roman" w:hAnsi="Times New Roman"/>
          <w:sz w:val="22"/>
          <w:szCs w:val="22"/>
          <w:color w:val="auto"/>
        </w:rPr>
        <w:t>. A year of “Credited Service” shall mean a calendar year in which the Participant is paid for at least 1,000 hours of employment with the Company or any entity directly or indirectly controlled by the Company (a “Subsidiary”).</w:t>
      </w:r>
    </w:p>
    <w:p>
      <w:pPr>
        <w:spacing w:after="0" w:line="21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The Participant’s “Date of Termination” shall be the first day occurring on or after the Grant Date on which the Participant ceases employment with the Company or any Subsidiary (a “Termination of Employment”), regardless of the reason for such Termination of Employment; provided that a Termination of Employment shall not be deemed to occur by reason of a transfer of the Participant between the Company and a Subsidiary or between two Subsidiaries; and further provided that a Termination of Employment shall not be deemed to occur while the Participant is on an approved leave of absence from the Company or any Subsidiary.</w:t>
      </w:r>
    </w:p>
    <w:p>
      <w:pPr>
        <w:spacing w:after="0" w:line="20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term “Disability” shall mean the Participant’s inability to perform such Participant’s job or any position which the Participant can perform with such Participant’s background and training by reason of any medically determinable physical or mental impairment which can be expected to result in death or to be of long, continued and indefinite duration.</w:t>
      </w:r>
    </w:p>
    <w:p>
      <w:pPr>
        <w:spacing w:after="0" w:line="20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The term “Retirement” shall mean either “Early Retirement” or “Normal Retirement.” For this purpose, Early Retirement means attainment of age fifty-five (55) with ten (l0) or more years of Credited Service and Normal Retirement means attainment of age sixty-five (65) with five (5) or more years of Credited Service.</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7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xml:space="preserve"> The term “Retirement Date” shall mean the day on which the Participant terminates employment with the Company after having satisfied the requirements for Retirement.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29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Definitions</w:t>
      </w:r>
      <w:r>
        <w:rPr>
          <w:rFonts w:ascii="Times New Roman" w:cs="Times New Roman" w:eastAsia="Times New Roman" w:hAnsi="Times New Roman"/>
          <w:sz w:val="22"/>
          <w:szCs w:val="22"/>
          <w:color w:val="auto"/>
        </w:rPr>
        <w:t>. Except where the context clearly implies or indicates to the contrary, a word, term, or phrase used in the Plan is similarly used in this Agreement.</w:t>
      </w:r>
    </w:p>
    <w:p>
      <w:pPr>
        <w:spacing w:after="0" w:line="170" w:lineRule="exact"/>
        <w:rPr>
          <w:rFonts w:ascii="Times New Roman" w:cs="Times New Roman" w:eastAsia="Times New Roman" w:hAnsi="Times New Roman"/>
          <w:sz w:val="22"/>
          <w:szCs w:val="22"/>
          <w:color w:val="auto"/>
        </w:rPr>
      </w:pPr>
    </w:p>
    <w:p>
      <w:pPr>
        <w:jc w:val="both"/>
        <w:ind w:firstLine="8"/>
        <w:spacing w:after="0" w:line="253" w:lineRule="auto"/>
        <w:tabs>
          <w:tab w:leader="none" w:pos="6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Heirs and Successors</w:t>
      </w:r>
      <w:r>
        <w:rPr>
          <w:rFonts w:ascii="Times New Roman" w:cs="Times New Roman" w:eastAsia="Times New Roman" w:hAnsi="Times New Roman"/>
          <w:sz w:val="22"/>
          <w:szCs w:val="22"/>
          <w:color w:val="auto"/>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spacing w:after="0" w:line="205"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66" w:name="page67"/>
    <w:bookmarkEnd w:id="66"/>
    <w:p>
      <w:pPr>
        <w:jc w:val="both"/>
        <w:ind w:firstLine="8"/>
        <w:spacing w:after="0" w:line="256"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In the event of any inconsistency between the provisions of this Agreement and, if applicable, the terms of the Participant’s Employment Agreement, the provisions set forth in the Participant’s Employment Agreement shall govern; provided, however, that to the extent the provisions of this Agreement or the Participant’s Employment Agreement are inconsistent with the terms of the Plan, then the terms of the Plan shall govern.</w:t>
      </w:r>
    </w:p>
    <w:p>
      <w:pPr>
        <w:spacing w:after="0" w:line="203"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Contract</w:t>
      </w:r>
      <w:r>
        <w:rPr>
          <w:rFonts w:ascii="Times New Roman" w:cs="Times New Roman" w:eastAsia="Times New Roman" w:hAnsi="Times New Roman"/>
          <w:sz w:val="22"/>
          <w:szCs w:val="22"/>
          <w:color w:val="auto"/>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 or, if applicable, the terms of the Participant’s Employment Agreement.</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6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by a written agreement of the Participant and the Company, without the consent of any other person.</w:t>
      </w:r>
    </w:p>
    <w:p>
      <w:pPr>
        <w:spacing w:after="0" w:line="184" w:lineRule="exact"/>
        <w:rPr>
          <w:rFonts w:ascii="Times New Roman" w:cs="Times New Roman" w:eastAsia="Times New Roman" w:hAnsi="Times New Roman"/>
          <w:sz w:val="22"/>
          <w:szCs w:val="22"/>
          <w:color w:val="auto"/>
        </w:rPr>
      </w:pPr>
    </w:p>
    <w:p>
      <w:pPr>
        <w:jc w:val="both"/>
        <w:ind w:firstLine="8"/>
        <w:spacing w:after="0" w:line="257"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any Appendix hereto, and the Plan contain the entire agreement and understanding of the parties hereto with respect to the award contained herein and therein and supersede all prior communications, representations and negotiations in respect thereof.</w:t>
      </w:r>
    </w:p>
    <w:p>
      <w:pPr>
        <w:spacing w:after="0" w:line="199" w:lineRule="exact"/>
        <w:rPr>
          <w:rFonts w:ascii="Times New Roman" w:cs="Times New Roman" w:eastAsia="Times New Roman" w:hAnsi="Times New Roman"/>
          <w:sz w:val="22"/>
          <w:szCs w:val="22"/>
          <w:color w:val="auto"/>
        </w:rPr>
      </w:pPr>
    </w:p>
    <w:p>
      <w:pPr>
        <w:jc w:val="both"/>
        <w:ind w:firstLine="8"/>
        <w:spacing w:after="0" w:line="256"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203"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 Securities Law</w:t>
      </w:r>
      <w:r>
        <w:rPr>
          <w:rFonts w:ascii="Times New Roman" w:cs="Times New Roman" w:eastAsia="Times New Roman" w:hAnsi="Times New Roman"/>
          <w:sz w:val="22"/>
          <w:szCs w:val="22"/>
          <w:color w:val="auto"/>
        </w:rPr>
        <w:t>. Notwithstanding any other terms and conditions of the Plan or this Agreement, unless there is an available exemption from any registration, qualification or other legal requirement applicable to the issuance of this Agreement or and any Stock Units or shares of Common Stock the Participant may become entitled to under this Agreement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sole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participation in the trade and acceptance of such securities is voluntary and that the Company shall have unilateral authority to amend the Plan and the Agreement without the Participant’s consent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extent necessary to comply with securities or other laws applicable to issuance of any such securities.</w:t>
      </w:r>
    </w:p>
    <w:p>
      <w:pPr>
        <w:spacing w:after="0" w:line="247" w:lineRule="exact"/>
        <w:rPr>
          <w:sz w:val="20"/>
          <w:szCs w:val="20"/>
          <w:color w:val="auto"/>
        </w:rPr>
      </w:pPr>
    </w:p>
    <w:p>
      <w:pPr>
        <w:jc w:val="both"/>
        <w:ind w:firstLine="301"/>
        <w:spacing w:after="0" w:line="256" w:lineRule="auto"/>
        <w:rPr>
          <w:sz w:val="20"/>
          <w:szCs w:val="20"/>
          <w:color w:val="auto"/>
        </w:rPr>
      </w:pPr>
      <w:r>
        <w:rPr>
          <w:rFonts w:ascii="Times New Roman" w:cs="Times New Roman" w:eastAsia="Times New Roman" w:hAnsi="Times New Roman"/>
          <w:sz w:val="22"/>
          <w:szCs w:val="22"/>
          <w:color w:val="auto"/>
        </w:rPr>
        <w:t>IN WITNESS WHEREOF, the Participant has executed this Agreement, and the Company has caused these presents to be executed in its name and on its behalf, all effective as of the Grant Date. By accepting the terms of this Agreement through an electronic form offered by the Company, or the Company’s designee, the Participant hereby agrees to the terms of this Agreement with the same effect as if the Participant had signed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Chris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1811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 Cocks</w:t>
      </w:r>
    </w:p>
    <w:p>
      <w:pPr>
        <w:spacing w:after="0" w:line="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3086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Cocks, certify that:</w:t>
      </w:r>
    </w:p>
    <w:p>
      <w:pPr>
        <w:spacing w:after="0" w:line="185" w:lineRule="exact"/>
        <w:rPr>
          <w:sz w:val="20"/>
          <w:szCs w:val="20"/>
          <w:color w:val="auto"/>
        </w:rPr>
      </w:pPr>
    </w:p>
    <w:p>
      <w:pPr>
        <w:ind w:left="420" w:hanging="412"/>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July 31, 2024</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 Cocks</w:t>
      </w:r>
    </w:p>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Gina Goetter, certify that:</w:t>
      </w:r>
    </w:p>
    <w:p>
      <w:pPr>
        <w:spacing w:after="0" w:line="185"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spacing w:after="0" w:line="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Gina Goetter</w:t>
      </w:r>
    </w:p>
    <w:p>
      <w:pPr>
        <w:ind w:left="612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6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120" w:hanging="412"/>
        <w:spacing w:after="0" w:line="282" w:lineRule="auto"/>
        <w:tabs>
          <w:tab w:leader="none" w:pos="4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2024,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9" w:lineRule="exact"/>
        <w:rPr>
          <w:sz w:val="20"/>
          <w:szCs w:val="20"/>
          <w:color w:val="auto"/>
        </w:rPr>
      </w:pPr>
    </w:p>
    <w:p>
      <w:pPr>
        <w:ind w:left="420" w:right="120" w:hanging="412"/>
        <w:spacing w:after="0" w:line="282" w:lineRule="auto"/>
        <w:tabs>
          <w:tab w:leader="none" w:pos="4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2024,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ind w:left="3100"/>
        <w:spacing w:after="0" w:line="203" w:lineRule="auto"/>
        <w:rPr>
          <w:sz w:val="20"/>
          <w:szCs w:val="20"/>
          <w:color w:val="auto"/>
        </w:rPr>
      </w:pPr>
      <w:r>
        <w:rPr>
          <w:rFonts w:ascii="Times New Roman" w:cs="Times New Roman" w:eastAsia="Times New Roman" w:hAnsi="Times New Roman"/>
          <w:sz w:val="18"/>
          <w:szCs w:val="18"/>
          <w:color w:val="auto"/>
        </w:rPr>
        <w:t>Gina Goetter</w:t>
      </w:r>
    </w:p>
    <w:p>
      <w:pPr>
        <w:jc w:val="center"/>
        <w:ind w:righ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1)"/>
      <w:numFmt w:val="decimal"/>
      <w:start w:val="5"/>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6"/>
    </w:lvl>
  </w:abstractNum>
  <w:abstractNum w:abstractNumId="13">
    <w:nsid w:val="7724C67E"/>
    <w:multiLevelType w:val="hybridMultilevel"/>
    <w:lvl w:ilvl="0">
      <w:lvlJc w:val="left"/>
      <w:lvlText w:val="(%1)"/>
      <w:numFmt w:val="decimal"/>
      <w:start w:val="7"/>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8"/>
    </w:lvl>
  </w:abstractNum>
  <w:abstractNum w:abstractNumId="16">
    <w:nsid w:val="5E884ADC"/>
    <w:multiLevelType w:val="hybridMultilevel"/>
    <w:lvl w:ilvl="0">
      <w:lvlJc w:val="left"/>
      <w:lvlText w:val="(%1)"/>
      <w:numFmt w:val="decimal"/>
      <w:start w:val="2"/>
    </w:lvl>
  </w:abstractNum>
  <w:abstractNum w:abstractNumId="17">
    <w:nsid w:val="51EAD36B"/>
    <w:multiLevelType w:val="hybridMultilevel"/>
    <w:lvl w:ilvl="0">
      <w:lvlJc w:val="left"/>
      <w:lvlText w:val="(%1)"/>
      <w:numFmt w:val="decimal"/>
      <w:start w:val="9"/>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0"/>
    </w:lvl>
  </w:abstractNum>
  <w:abstractNum w:abstractNumId="20">
    <w:nsid w:val="153EA438"/>
    <w:multiLevelType w:val="hybridMultilevel"/>
    <w:lvl w:ilvl="0">
      <w:lvlJc w:val="left"/>
      <w:lvlText w:val="(%1)"/>
      <w:numFmt w:val="decimal"/>
      <w:start w:val="10"/>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2"/>
    </w:lvl>
  </w:abstractNum>
  <w:abstractNum w:abstractNumId="23">
    <w:nsid w:val="6A2342EC"/>
    <w:multiLevelType w:val="hybridMultilevel"/>
    <w:lvl w:ilvl="0">
      <w:lvlJc w:val="left"/>
      <w:lvlText w:val="(%1)"/>
      <w:numFmt w:val="decimal"/>
      <w:start w:val="13"/>
    </w:lvl>
  </w:abstractNum>
  <w:abstractNum w:abstractNumId="24">
    <w:nsid w:val="2A487CB0"/>
    <w:multiLevelType w:val="hybridMultilevel"/>
    <w:lvl w:ilvl="0">
      <w:lvlJc w:val="left"/>
      <w:lvlText w:val="(%1)"/>
      <w:numFmt w:val="decimal"/>
      <w:start w:val="14"/>
    </w:lvl>
  </w:abstractNum>
  <w:abstractNum w:abstractNumId="25">
    <w:nsid w:val="1D4ED43B"/>
    <w:multiLevelType w:val="hybridMultilevel"/>
    <w:lvl w:ilvl="0">
      <w:lvlJc w:val="left"/>
      <w:lvlText w:val="(%1)"/>
      <w:numFmt w:val="decimal"/>
      <w:start w:val="15"/>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lvl w:ilvl="1">
      <w:lvlJc w:val="left"/>
      <w:lvlText w:val="(%2)"/>
      <w:numFmt w:val="lowerRoman"/>
      <w:start w:val="1"/>
    </w:lvl>
  </w:abstractNum>
  <w:abstractNum w:abstractNumId="32">
    <w:nsid w:val="6DE91B18"/>
    <w:multiLevelType w:val="hybridMultilevel"/>
    <w:lvl w:ilvl="0">
      <w:lvlJc w:val="left"/>
      <w:lvlText w:val="(%1)"/>
      <w:numFmt w:val="lowerRoman"/>
      <w:start w:val="2"/>
    </w:lvl>
  </w:abstractNum>
  <w:abstractNum w:abstractNumId="33">
    <w:nsid w:val="38437FD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4"/>
    </w:lvl>
  </w:abstractNum>
  <w:abstractNum w:abstractNumId="34">
    <w:nsid w:val="7644A45C"/>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Roman"/>
      <w:start w:val="1"/>
    </w:lvl>
  </w:abstractNum>
  <w:abstractNum w:abstractNumId="35">
    <w:nsid w:val="32FFF902"/>
    <w:multiLevelType w:val="hybridMultilevel"/>
    <w:lvl w:ilvl="0">
      <w:lvlJc w:val="left"/>
      <w:lvlText w:val="%1."/>
      <w:numFmt w:val="decimal"/>
      <w:start w:val="3"/>
    </w:lvl>
    <w:lvl w:ilvl="1">
      <w:lvlJc w:val="left"/>
      <w:lvlText w:val="%2"/>
      <w:numFmt w:val="decimal"/>
      <w:start w:val="1"/>
    </w:lvl>
    <w:lvl w:ilvl="2">
      <w:lvlJc w:val="left"/>
      <w:lvlText w:val="%3."/>
      <w:numFmt w:val="decimal"/>
      <w:start w:val="4"/>
    </w:lvl>
    <w:lvl w:ilvl="3">
      <w:lvlJc w:val="left"/>
      <w:lvlText w:val="%4"/>
      <w:numFmt w:val="lowerRoman"/>
      <w:start w:val="1"/>
    </w:lvl>
  </w:abstractNum>
  <w:abstractNum w:abstractNumId="36">
    <w:nsid w:val="684A481A"/>
    <w:multiLevelType w:val="hybridMultilevel"/>
    <w:lvl w:ilvl="0">
      <w:lvlJc w:val="left"/>
      <w:lvlText w:val="%1."/>
      <w:numFmt w:val="decimal"/>
      <w:start w:val="5"/>
    </w:lvl>
    <w:lvl w:ilvl="1">
      <w:lvlJc w:val="left"/>
      <w:lvlText w:val="%2."/>
      <w:numFmt w:val="decimal"/>
      <w:start w:val="6"/>
    </w:lvl>
  </w:abstractNum>
  <w:abstractNum w:abstractNumId="37">
    <w:nsid w:val="579478FE"/>
    <w:multiLevelType w:val="hybridMultilevel"/>
    <w:lvl w:ilvl="0">
      <w:lvlJc w:val="left"/>
      <w:lvlText w:val="%1."/>
      <w:numFmt w:val="decimal"/>
      <w:start w:val="7"/>
    </w:lvl>
  </w:abstractNum>
  <w:abstractNum w:abstractNumId="38">
    <w:nsid w:val="749ABB43"/>
    <w:multiLevelType w:val="hybridMultilevel"/>
    <w:lvl w:ilvl="0">
      <w:lvlJc w:val="left"/>
      <w:lvlText w:val="%1."/>
      <w:numFmt w:val="decimal"/>
      <w:start w:val="8"/>
    </w:lvl>
    <w:lvl w:ilvl="1">
      <w:lvlJc w:val="left"/>
      <w:lvlText w:val="(%2)"/>
      <w:numFmt w:val="lowerLetter"/>
      <w:start w:val="2"/>
    </w:lvl>
  </w:abstractNum>
  <w:abstractNum w:abstractNumId="39">
    <w:nsid w:val="3DC240FB"/>
    <w:multiLevelType w:val="hybridMultilevel"/>
    <w:lvl w:ilvl="0">
      <w:lvlJc w:val="left"/>
      <w:lvlText w:val="(%1)"/>
      <w:numFmt w:val="lowerLetter"/>
      <w:start w:val="3"/>
    </w:lvl>
    <w:lvl w:ilvl="1">
      <w:lvlJc w:val="left"/>
      <w:lvlText w:val="(%2)"/>
      <w:numFmt w:val="lowerLetter"/>
      <w:start w:val="4"/>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8"/>
    </w:lvl>
    <w:lvl w:ilvl="1">
      <w:lvlJc w:val="left"/>
      <w:lvlText w:val="%2."/>
      <w:numFmt w:val="decimal"/>
      <w:start w:val="11"/>
    </w:lvl>
    <w:lvl w:ilvl="2">
      <w:lvlJc w:val="left"/>
      <w:lvlText w:val="%3."/>
      <w:numFmt w:val="decimal"/>
      <w:start w:val="11"/>
    </w:lvl>
    <w:lvl w:ilvl="3">
      <w:lvlJc w:val="left"/>
      <w:lvlText w:val="*"/>
      <w:numFmt w:val="bullet"/>
      <w:start w:val="1"/>
    </w:lvl>
  </w:abstractNum>
  <w:abstractNum w:abstractNumId="42">
    <w:nsid w:val="75C6C33A"/>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
      <w:numFmt w:val="bullet"/>
      <w:start w:val="1"/>
    </w:lvl>
  </w:abstractNum>
  <w:abstractNum w:abstractNumId="43">
    <w:nsid w:val="12E685FB"/>
    <w:multiLevelType w:val="hybridMultilevel"/>
    <w:lvl w:ilvl="0">
      <w:lvlJc w:val="left"/>
      <w:lvlText w:val="%1"/>
      <w:numFmt w:val="decimal"/>
      <w:start w:val="1"/>
    </w:lvl>
    <w:lvl w:ilvl="1">
      <w:lvlJc w:val="left"/>
      <w:lvlText w:val="%2."/>
      <w:numFmt w:val="decimal"/>
      <w:start w:val="14"/>
    </w:lvl>
  </w:abstractNum>
  <w:abstractNum w:abstractNumId="44">
    <w:nsid w:val="70C6A529"/>
    <w:multiLevelType w:val="hybridMultilevel"/>
    <w:lvl w:ilvl="0">
      <w:lvlJc w:val="left"/>
      <w:lvlText w:val="%1."/>
      <w:numFmt w:val="decimal"/>
      <w:start w:val="15"/>
    </w:lvl>
    <w:lvl w:ilvl="1">
      <w:lvlJc w:val="left"/>
      <w:lvlText w:val="%2"/>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Roman"/>
      <w:start w:val="1"/>
    </w:lvl>
    <w:lvl w:ilvl="1">
      <w:lvlJc w:val="left"/>
      <w:lvlText w:val="%2."/>
      <w:numFmt w:val="lowerLetter"/>
      <w:start w:val="1"/>
    </w:lvl>
  </w:abstractNum>
  <w:abstractNum w:abstractNumId="47">
    <w:nsid w:val="4F4EF005"/>
    <w:multiLevelType w:val="hybridMultilevel"/>
    <w:lvl w:ilvl="0">
      <w:lvlJc w:val="left"/>
      <w:lvlText w:val="%1."/>
      <w:numFmt w:val="decimal"/>
      <w:start w:val="1"/>
    </w:lvl>
    <w:lvl w:ilvl="1">
      <w:lvlJc w:val="left"/>
      <w:lvlText w:val="%2."/>
      <w:numFmt w:val="upperLetter"/>
      <w:start w:val="1"/>
    </w:lvl>
  </w:abstractNum>
  <w:abstractNum w:abstractNumId="48">
    <w:nsid w:val="23F9C13C"/>
    <w:multiLevelType w:val="hybridMultilevel"/>
    <w:lvl w:ilvl="0">
      <w:lvlJc w:val="left"/>
      <w:lvlText w:val="%1."/>
      <w:numFmt w:val="upperLetter"/>
      <w:start w:val="3"/>
    </w:lvl>
  </w:abstractNum>
  <w:abstractNum w:abstractNumId="49">
    <w:nsid w:val="649BB77C"/>
    <w:multiLevelType w:val="hybridMultilevel"/>
    <w:lvl w:ilvl="0">
      <w:lvlJc w:val="left"/>
      <w:lvlText w:val="%1"/>
      <w:numFmt w:val="decimal"/>
      <w:start w:val="1"/>
    </w:lvl>
    <w:lvl w:ilvl="1">
      <w:lvlJc w:val="left"/>
      <w:lvlText w:val="%2."/>
      <w:numFmt w:val="upperLetter"/>
      <w:start w:val="5"/>
    </w:lvl>
  </w:abstractNum>
  <w:abstractNum w:abstractNumId="50">
    <w:nsid w:val="275AC794"/>
    <w:multiLevelType w:val="hybridMultilevel"/>
    <w:lvl w:ilvl="0">
      <w:lvlJc w:val="left"/>
      <w:lvlText w:val="%1."/>
      <w:numFmt w:val="decimal"/>
      <w:start w:val="2"/>
    </w:lvl>
    <w:lvl w:ilvl="1">
      <w:lvlJc w:val="left"/>
      <w:lvlText w:val="%2"/>
      <w:numFmt w:val="upperLetter"/>
      <w:start w:val="1"/>
    </w:lvl>
  </w:abstractNum>
  <w:abstractNum w:abstractNumId="51">
    <w:nsid w:val="39386575"/>
    <w:multiLevelType w:val="hybridMultilevel"/>
    <w:lvl w:ilvl="0">
      <w:lvlJc w:val="left"/>
      <w:lvlText w:val="%1."/>
      <w:numFmt w:val="decimal"/>
      <w:start w:val="3"/>
    </w:lvl>
    <w:lvl w:ilvl="1">
      <w:lvlJc w:val="left"/>
      <w:lvlText w:val="%2."/>
      <w:numFmt w:val="upperLetter"/>
      <w:start w:val="1"/>
    </w:lvl>
  </w:abstractNum>
  <w:abstractNum w:abstractNumId="52">
    <w:nsid w:val="1CF10FD8"/>
    <w:multiLevelType w:val="hybridMultilevel"/>
    <w:lvl w:ilvl="0">
      <w:lvlJc w:val="left"/>
      <w:lvlText w:val="%1"/>
      <w:numFmt w:val="decimal"/>
      <w:start w:val="1"/>
    </w:lvl>
    <w:lvl w:ilvl="1">
      <w:lvlJc w:val="left"/>
      <w:lvlText w:val="%2."/>
      <w:numFmt w:val="upperLetter"/>
      <w:start w:val="4"/>
    </w:lvl>
  </w:abstractNum>
  <w:abstractNum w:abstractNumId="53">
    <w:nsid w:val="180115BE"/>
    <w:multiLevelType w:val="hybridMultilevel"/>
    <w:lvl w:ilvl="0">
      <w:lvlJc w:val="left"/>
      <w:lvlText w:val="%1."/>
      <w:numFmt w:val="decimal"/>
      <w:start w:val="4"/>
    </w:lvl>
    <w:lvl w:ilvl="1">
      <w:lvlJc w:val="left"/>
      <w:lvlText w:val="%2."/>
      <w:numFmt w:val="upperLetter"/>
      <w:start w:val="1"/>
    </w:lvl>
  </w:abstractNum>
  <w:abstractNum w:abstractNumId="54">
    <w:nsid w:val="235BA861"/>
    <w:multiLevelType w:val="hybridMultilevel"/>
    <w:lvl w:ilvl="0">
      <w:lvlJc w:val="left"/>
      <w:lvlText w:val="%1"/>
      <w:numFmt w:val="decimal"/>
      <w:start w:val="1"/>
    </w:lvl>
    <w:lvl w:ilvl="1">
      <w:lvlJc w:val="left"/>
      <w:lvlText w:val="%2."/>
      <w:numFmt w:val="upperLetter"/>
      <w:start w:val="2"/>
    </w:lvl>
  </w:abstractNum>
  <w:abstractNum w:abstractNumId="55">
    <w:nsid w:val="47398C89"/>
    <w:multiLevelType w:val="hybridMultilevel"/>
    <w:lvl w:ilvl="0">
      <w:lvlJc w:val="left"/>
      <w:lvlText w:val="%1."/>
      <w:numFmt w:val="decimal"/>
      <w:start w:val="7"/>
    </w:lvl>
    <w:lvl w:ilvl="1">
      <w:lvlJc w:val="left"/>
      <w:lvlText w:val="%2"/>
      <w:numFmt w:val="upperLetter"/>
      <w:start w:val="1"/>
    </w:lvl>
  </w:abstractNum>
  <w:abstractNum w:abstractNumId="56">
    <w:nsid w:val="354FE9F9"/>
    <w:multiLevelType w:val="hybridMultilevel"/>
    <w:lvl w:ilvl="0">
      <w:lvlJc w:val="left"/>
      <w:lvlText w:val="%1."/>
      <w:numFmt w:val="decimal"/>
      <w:start w:val="9"/>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56" Type="http://schemas.openxmlformats.org/officeDocument/2006/relationships/hyperlink" Target="https://www.sec.gov/Archives/edgar/data/46080/000004608000000013/0000046080-00-000013-0002.txt" TargetMode="External"/><Relationship Id="rId57" Type="http://schemas.openxmlformats.org/officeDocument/2006/relationships/hyperlink" Target="https://www.sec.gov/Archives/edgar/data/46080/000004608000000013/0000046080-00-000013-0005.txt" TargetMode="External"/><Relationship Id="rId58" Type="http://schemas.openxmlformats.org/officeDocument/2006/relationships/hyperlink" Target="https://www.sec.gov/Archives/edgar/data/46080/000004608003000022/ex3-3q203.htm" TargetMode="External"/><Relationship Id="rId59" Type="http://schemas.openxmlformats.org/officeDocument/2006/relationships/hyperlink" Target="https://www.sec.gov/Archives/edgar/data/46080/000004608022000109/hasbro-secondamendedandres.htm" TargetMode="External"/><Relationship Id="rId60" Type="http://schemas.openxmlformats.org/officeDocument/2006/relationships/hyperlink" Target="https://www.sec.gov/Archives/edgar/data/46080/000004608000000013/0000046080-00-000013-0003.txt" TargetMode="External"/><Relationship Id="rId61" Type="http://schemas.openxmlformats.org/officeDocument/2006/relationships/hyperlink" Target="https://www.sec.gov/Archives/edgar/data/46080/000004608000000013/0000046080-00-000013-0004.txt" TargetMode="External"/><Relationship Id="rId62" Type="http://schemas.openxmlformats.org/officeDocument/2006/relationships/hyperlink" Target="https://www.sec.gov/Archives/edgar/data/46080/0000950172-98-000702.txt" TargetMode="External"/><Relationship Id="rId63" Type="http://schemas.openxmlformats.org/officeDocument/2006/relationships/hyperlink" Target="https://www.sec.gov/Archives/edgar/data/46080/000004608000000003/0000046080-00-000003.txt" TargetMode="External"/><Relationship Id="rId64" Type="http://schemas.openxmlformats.org/officeDocument/2006/relationships/hyperlink" Target="https://www.sec.gov/Archives/edgar/data/46080/000095013507005709/b66906hbexv4w1.htm" TargetMode="External"/><Relationship Id="rId65" Type="http://schemas.openxmlformats.org/officeDocument/2006/relationships/hyperlink" Target="https://www.sec.gov/Archives/edgar/data/46080/000095013509003948/b75462hiexv4w1.htm" TargetMode="External"/><Relationship Id="rId66" Type="http://schemas.openxmlformats.org/officeDocument/2006/relationships/hyperlink" Target="https://www.sec.gov/Archives/edgar/data/46080/000095012310023420/b80058exv4w1.htm" TargetMode="External"/><Relationship Id="rId67" Type="http://schemas.openxmlformats.org/officeDocument/2006/relationships/hyperlink" Target="https://www.sec.gov/Archives/edgar/data/46080/000119312514196726/d727293dex41.htm" TargetMode="External"/><Relationship Id="rId68" Type="http://schemas.openxmlformats.org/officeDocument/2006/relationships/hyperlink" Target="https://www.sec.gov/Archives/edgar/data/46080/000119312517283854/d456734dex41.htm" TargetMode="External"/><Relationship Id="rId69" Type="http://schemas.openxmlformats.org/officeDocument/2006/relationships/hyperlink" Target="https://www.sec.gov/Archives/edgar/data/46080/000119312519295544/d822953dex12.htm" TargetMode="External"/><Relationship Id="rId70" Type="http://schemas.openxmlformats.org/officeDocument/2006/relationships/hyperlink" Target="https://www.sec.gov/Archives/edgar/data/46080/000119312524138322/d838682dex42.htm" TargetMode="External"/><Relationship Id="rId71" Type="http://schemas.openxmlformats.org/officeDocument/2006/relationships/hyperlink" Target="https://www.sec.gov/Archives/edgar/data/46080/000004608024000119/ccocksamendedandrestatedem.htm" TargetMode="External"/><Relationship Id="rId72" Type="http://schemas.openxmlformats.org/officeDocument/2006/relationships/hyperlink" Target="https://www.sec.gov/ix?doc=/Archives/edgar/data/46080/000119312524085438/d814749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2024-07-31T16:34:22Z</dcterms:created>
  <dcterms:modified xsi:type="dcterms:W3CDTF">2024-07-31T16:34:22Z</dcterms:modified>
</cp:coreProperties>
</file>