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17"/>
          <w:szCs w:val="17"/>
          <w:b w:val="1"/>
          <w:bCs w:val="1"/>
          <w:color w:val="auto"/>
        </w:rPr>
        <w:t>June 11, 2026</w:t>
      </w:r>
    </w:p>
    <w:p>
      <w:pPr>
        <w:spacing w:after="0" w:line="3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Hasbro,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 w:lineRule="exact"/>
        <w:rPr>
          <w:sz w:val="24"/>
          <w:szCs w:val="24"/>
          <w:color w:val="auto"/>
        </w:rPr>
      </w:pPr>
    </w:p>
    <w:tbl>
      <w:tblPr>
        <w:tblLayout w:type="fixed"/>
        <w:tblInd w:w="380" w:type="dxa"/>
        <w:tblCellMar>
          <w:top w:w="0" w:type="dxa"/>
          <w:left w:w="0" w:type="dxa"/>
          <w:bottom w:w="0" w:type="dxa"/>
          <w:right w:w="0" w:type="dxa"/>
        </w:tblCellMar>
      </w:tblPr>
      <w:tr>
        <w:trPr>
          <w:trHeight w:val="261"/>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1-6682</w:t>
            </w:r>
          </w:p>
        </w:tc>
        <w:tc>
          <w:tcPr>
            <w:tcW w:w="31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05-0155090</w:t>
            </w:r>
          </w:p>
        </w:tc>
        <w:tc>
          <w:tcPr>
            <w:tcW w:w="0" w:type="dxa"/>
            <w:vAlign w:val="bottom"/>
          </w:tcPr>
          <w:p>
            <w:pPr>
              <w:spacing w:after="0"/>
              <w:rPr>
                <w:sz w:val="1"/>
                <w:szCs w:val="1"/>
                <w:color w:val="auto"/>
              </w:rPr>
            </w:pPr>
          </w:p>
        </w:tc>
      </w:tr>
      <w:tr>
        <w:trPr>
          <w:trHeight w:val="180"/>
        </w:trPr>
        <w:tc>
          <w:tcPr>
            <w:tcW w:w="3740" w:type="dxa"/>
            <w:vAlign w:val="bottom"/>
          </w:tcPr>
          <w:p>
            <w:pPr>
              <w:jc w:val="center"/>
              <w:ind w:right="35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c>
          <w:tcPr>
            <w:tcW w:w="0" w:type="dxa"/>
            <w:vAlign w:val="bottom"/>
          </w:tcPr>
          <w:p>
            <w:pPr>
              <w:spacing w:after="0"/>
              <w:rPr>
                <w:sz w:val="1"/>
                <w:szCs w:val="1"/>
                <w:color w:val="auto"/>
              </w:rPr>
            </w:pPr>
          </w:p>
        </w:tc>
      </w:tr>
      <w:tr>
        <w:trPr>
          <w:trHeight w:val="256"/>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2"/>
                <w:szCs w:val="22"/>
                <w:color w:val="auto"/>
              </w:rPr>
            </w:pPr>
          </w:p>
        </w:tc>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(401) 431-8697</w:t>
      </w:r>
    </w:p>
    <w:p>
      <w:pPr>
        <w:spacing w:after="0" w:line="247"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1900" w:h="16838" w:orient="portrait"/>
          <w:cols w:equalWidth="0" w:num="1">
            <w:col w:w="11100"/>
          </w:cols>
          <w:pgMar w:left="320" w:top="979" w:right="479" w:bottom="1440" w:gutter="0" w:footer="0" w:header="0"/>
        </w:sectPr>
      </w:pPr>
    </w:p>
    <w:p>
      <w:pPr>
        <w:spacing w:after="0" w:line="5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160" w:space="720"/>
            <w:col w:w="1640" w:space="720"/>
            <w:col w:w="3860"/>
          </w:cols>
          <w:pgMar w:left="320" w:top="979" w:right="4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209" w:lineRule="exact"/>
        <w:rPr>
          <w:sz w:val="24"/>
          <w:szCs w:val="24"/>
          <w:color w:val="auto"/>
        </w:rPr>
      </w:pPr>
    </w:p>
    <w:p>
      <w:pPr>
        <w:sectPr>
          <w:pgSz w:w="11900" w:h="16838" w:orient="portrait"/>
          <w:cols w:equalWidth="0" w:num="3">
            <w:col w:w="4660" w:space="720"/>
            <w:col w:w="1540" w:space="720"/>
            <w:col w:w="3460"/>
          </w:cols>
          <w:pgMar w:left="320" w:top="979" w:right="479" w:bottom="1440" w:gutter="0" w:footer="0" w:header="0"/>
          <w:type w:val="continuous"/>
        </w:sectPr>
      </w:pPr>
    </w:p>
    <w:p>
      <w:pPr>
        <w:spacing w:after="0" w:line="24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or Rule 12b-2 of the Securities Exchange Act of 1934.</w:t>
      </w:r>
    </w:p>
    <w:p>
      <w:pPr>
        <w:spacing w:after="0" w:line="230" w:lineRule="exact"/>
        <w:tabs>
          <w:tab w:leader="none" w:pos="2340" w:val="left"/>
        </w:tabs>
        <w:rPr>
          <w:sz w:val="20"/>
          <w:szCs w:val="20"/>
          <w:color w:val="auto"/>
        </w:rPr>
      </w:pPr>
      <w:r>
        <w:rPr>
          <w:rFonts w:ascii="Times New Roman" w:cs="Times New Roman" w:eastAsia="Times New Roman" w:hAnsi="Times New Roman"/>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7" w:lineRule="exact"/>
        <w:rPr>
          <w:sz w:val="24"/>
          <w:szCs w:val="24"/>
          <w:color w:val="auto"/>
        </w:rPr>
      </w:pPr>
    </w:p>
    <w:p>
      <w:pPr>
        <w:ind w:right="4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9" w:right="479" w:bottom="1440" w:gutter="0" w:footer="0" w:header="0"/>
          <w:type w:val="continuous"/>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June 11, 2026, Hasbro held its 2026 annual meeting of shareholders (the “Annual Meeting”). As of the record date of April 13, 2026, there were 141,521,544 shares of common stock outstanding and entitled to notice of and to vote at the Annual Meeting. Of the record date shares, 124,531,555 shares of common stock, or approximately 88%, were represented at the Annual Meeting. Set forth below are (i) the matters voted upon at the Annual Meeting, which are more fully described in the Company’s proxy statement filed with the U.S. Securities and Exchange Commission on April 17, 2026 (the “Proxy”), and (ii) the final certified results of the voting reported by Computershare Trust Company, N.A., the independent Inspector of Election for the Annual Meeting (the “Inspector of Election”).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p>
      <w:pPr>
        <w:spacing w:after="0" w:line="2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Shareholders elected the Company’s eleven (11) nominees to serve as directors on the Company’s Board of Directors until the 2027 annual meeting of shareholders, and until their successors are duly elected and qualified, or until their earlier death, resignation or removal. The voting results for this proposal were as follows: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Company Nominees</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For</w:t>
            </w:r>
          </w:p>
        </w:tc>
        <w:tc>
          <w:tcPr>
            <w:tcW w:w="2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Against</w:t>
            </w: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Abstain</w:t>
            </w:r>
          </w:p>
        </w:tc>
        <w:tc>
          <w:tcPr>
            <w:tcW w:w="2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Broker Non-Votes</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Douglas Bowser</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110,610,609</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169,676</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63,677</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29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Hope F. Cochran</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109,670,949</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1,113,815</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59,198</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23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Christian P. Cocks</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110,260,600</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527,055</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56,307</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Lisa Gersh</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106,915,284</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3,862,897</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65,781</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4"/>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Frank D. Gibeau</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110,231,404</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548,952</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63,606</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Elizabeth Hamren</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110,261,731</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523,771</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58,460</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Darin S. Harris</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110,262,041</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518,907</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63,014</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Owen Mahoney</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110,590,955</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189,431</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63,576</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4"/>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Laurel J. Richie</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106,500,364</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4,284,811</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58,787</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4"/>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Richard S. Stoddart</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108,590,224</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2,183,549</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70,189</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Carla Vernón</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110,555,269</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230,561</w:t>
            </w:r>
          </w:p>
        </w:tc>
        <w:tc>
          <w:tcPr>
            <w:tcW w:w="1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58,132</w:t>
            </w:r>
          </w:p>
        </w:tc>
        <w:tc>
          <w:tcPr>
            <w:tcW w:w="2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13,687,593</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 Advisory Vote to Approve the Compensation of the Company’s Named Executive Officers</w:t>
      </w:r>
    </w:p>
    <w:p>
      <w:pPr>
        <w:spacing w:after="0" w:line="28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Shareholders approved, on an advisory basis, the compensation of the Company’s named executive officers, as such compensation is disclosed in the “Compensation Discussion and Analysis” and “Executive Compensation” sections in the Proxy. The voting results for this proposal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For</w:t>
            </w:r>
          </w:p>
        </w:tc>
        <w:tc>
          <w:tcPr>
            <w:tcW w:w="2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Against</w:t>
            </w:r>
          </w:p>
        </w:tc>
        <w:tc>
          <w:tcPr>
            <w:tcW w:w="2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Abstained</w:t>
            </w:r>
          </w:p>
        </w:tc>
        <w:tc>
          <w:tcPr>
            <w:tcW w:w="2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54"/>
        </w:trPr>
        <w:tc>
          <w:tcPr>
            <w:tcW w:w="248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50"/>
        </w:trPr>
        <w:tc>
          <w:tcPr>
            <w:tcW w:w="2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107,785,809</w:t>
            </w:r>
          </w:p>
        </w:tc>
        <w:tc>
          <w:tcPr>
            <w:tcW w:w="340" w:type="dxa"/>
            <w:vAlign w:val="bottom"/>
          </w:tcPr>
          <w:p>
            <w:pPr>
              <w:spacing w:after="0"/>
              <w:rPr>
                <w:sz w:val="21"/>
                <w:szCs w:val="21"/>
                <w:color w:val="auto"/>
              </w:rPr>
            </w:pPr>
          </w:p>
        </w:tc>
        <w:tc>
          <w:tcPr>
            <w:tcW w:w="25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2,921,857</w:t>
            </w:r>
          </w:p>
        </w:tc>
        <w:tc>
          <w:tcPr>
            <w:tcW w:w="320" w:type="dxa"/>
            <w:vAlign w:val="bottom"/>
          </w:tcPr>
          <w:p>
            <w:pPr>
              <w:spacing w:after="0"/>
              <w:rPr>
                <w:sz w:val="21"/>
                <w:szCs w:val="21"/>
                <w:color w:val="auto"/>
              </w:rPr>
            </w:pPr>
          </w:p>
        </w:tc>
        <w:tc>
          <w:tcPr>
            <w:tcW w:w="25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136,296</w:t>
            </w:r>
          </w:p>
        </w:tc>
        <w:tc>
          <w:tcPr>
            <w:tcW w:w="320" w:type="dxa"/>
            <w:vAlign w:val="bottom"/>
          </w:tcPr>
          <w:p>
            <w:pPr>
              <w:spacing w:after="0"/>
              <w:rPr>
                <w:sz w:val="21"/>
                <w:szCs w:val="21"/>
                <w:color w:val="auto"/>
              </w:rPr>
            </w:pPr>
          </w:p>
        </w:tc>
        <w:tc>
          <w:tcPr>
            <w:tcW w:w="25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13,687,593</w:t>
            </w:r>
          </w:p>
        </w:tc>
        <w:tc>
          <w:tcPr>
            <w:tcW w:w="280" w:type="dxa"/>
            <w:vAlign w:val="bottom"/>
          </w:tcPr>
          <w:p>
            <w:pPr>
              <w:spacing w:after="0"/>
              <w:rPr>
                <w:sz w:val="21"/>
                <w:szCs w:val="21"/>
                <w:color w:val="auto"/>
              </w:rPr>
            </w:pPr>
          </w:p>
        </w:tc>
      </w:tr>
      <w:tr>
        <w:trPr>
          <w:trHeight w:val="1492"/>
        </w:trPr>
        <w:tc>
          <w:tcPr>
            <w:tcW w:w="2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Proposal 3 – Ratification of the Selection of Independent Registered Public Accounting Firm</w:t>
      </w:r>
    </w:p>
    <w:p>
      <w:pPr>
        <w:spacing w:after="0" w:line="28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Shareholders ratified the selection of KPMG LLP as the Company’s independent registered public accounting firm for the fiscal year 2026. The voting results for this proposal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For</w:t>
            </w:r>
          </w:p>
        </w:tc>
        <w:tc>
          <w:tcPr>
            <w:tcW w:w="3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Against</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Abstained</w:t>
            </w:r>
          </w:p>
        </w:tc>
      </w:tr>
      <w:tr>
        <w:trPr>
          <w:trHeight w:val="54"/>
        </w:trPr>
        <w:tc>
          <w:tcPr>
            <w:tcW w:w="35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50"/>
        </w:trPr>
        <w:tc>
          <w:tcPr>
            <w:tcW w:w="35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118,855,339</w:t>
            </w:r>
          </w:p>
        </w:tc>
        <w:tc>
          <w:tcPr>
            <w:tcW w:w="340" w:type="dxa"/>
            <w:vAlign w:val="bottom"/>
          </w:tcPr>
          <w:p>
            <w:pPr>
              <w:spacing w:after="0"/>
              <w:rPr>
                <w:sz w:val="21"/>
                <w:szCs w:val="21"/>
                <w:color w:val="auto"/>
              </w:rPr>
            </w:pPr>
          </w:p>
        </w:tc>
        <w:tc>
          <w:tcPr>
            <w:tcW w:w="35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5,593,843</w:t>
            </w:r>
          </w:p>
        </w:tc>
        <w:tc>
          <w:tcPr>
            <w:tcW w:w="340" w:type="dxa"/>
            <w:vAlign w:val="bottom"/>
          </w:tcPr>
          <w:p>
            <w:pPr>
              <w:spacing w:after="0"/>
              <w:rPr>
                <w:sz w:val="21"/>
                <w:szCs w:val="21"/>
                <w:color w:val="auto"/>
              </w:rPr>
            </w:pPr>
          </w:p>
        </w:tc>
        <w:tc>
          <w:tcPr>
            <w:tcW w:w="34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82,373</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properly presented for consideration or shareholder action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HASBRO, INC.</w:t>
            </w:r>
          </w:p>
        </w:tc>
      </w:tr>
      <w:tr>
        <w:trPr>
          <w:trHeight w:val="79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Gina Goetter</w:t>
            </w:r>
          </w:p>
        </w:tc>
        <w:tc>
          <w:tcPr>
            <w:tcW w:w="306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Goetter</w:t>
            </w:r>
          </w:p>
        </w:tc>
      </w:tr>
      <w:tr>
        <w:trPr>
          <w:trHeight w:val="180"/>
        </w:trPr>
        <w:tc>
          <w:tcPr>
            <w:tcW w:w="9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2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9"/>
              </w:rPr>
              <w:t>Chief Financial Officer and Chief Operating Officer (Duly</w:t>
            </w:r>
          </w:p>
        </w:tc>
      </w:tr>
      <w:tr>
        <w:trPr>
          <w:trHeight w:val="234"/>
        </w:trPr>
        <w:tc>
          <w:tcPr>
            <w:tcW w:w="94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Officer and Principal Financial Officer)</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sectPr>
      <w:pgSz w:w="11900" w:h="16838" w:orient="portrait"/>
      <w:cols w:equalWidth="0" w:num="1">
        <w:col w:w="11200"/>
      </w:cols>
      <w:pgMar w:left="320" w:top="113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2026-06-15T15:21:32Z</dcterms:created>
  <dcterms:modified xsi:type="dcterms:W3CDTF">2026-06-15T15:21:32Z</dcterms:modified>
</cp:coreProperties>
</file>