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27, 2022</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4"/>
          <w:szCs w:val="24"/>
          <w:color w:val="auto"/>
        </w:rPr>
      </w:pPr>
    </w:p>
    <w:p>
      <w:pPr>
        <w:ind w:left="4360" w:right="1400" w:hanging="4136"/>
        <w:spacing w:after="0" w:line="375" w:lineRule="auto"/>
        <w:tabs>
          <w:tab w:leader="none" w:pos="6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1-6682</w:t>
      </w:r>
    </w:p>
    <w:p>
      <w:pPr>
        <w:spacing w:after="0" w:line="1" w:lineRule="exact"/>
        <w:rPr>
          <w:rFonts w:ascii="MS PGothic" w:cs="MS PGothic" w:eastAsia="MS PGothic" w:hAnsi="MS PGothic"/>
          <w:sz w:val="18"/>
          <w:szCs w:val="18"/>
          <w:color w:val="auto"/>
        </w:rPr>
      </w:pPr>
    </w:p>
    <w:p>
      <w:pPr>
        <w:ind w:left="4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__________________</w:t>
      </w:r>
    </w:p>
    <w:p>
      <w:pPr>
        <w:spacing w:after="0" w:line="1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HASBRO, INC.</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988" w:right="399" w:bottom="1440" w:gutter="0" w:footer="0" w:header="0"/>
        </w:sectPr>
      </w:pPr>
    </w:p>
    <w:p>
      <w:pPr>
        <w:spacing w:after="0" w:line="26"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Rhode Island</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05-0155090</w:t>
      </w:r>
    </w:p>
    <w:p>
      <w:pPr>
        <w:spacing w:after="0" w:line="65" w:lineRule="exact"/>
        <w:rPr>
          <w:sz w:val="24"/>
          <w:szCs w:val="24"/>
          <w:color w:val="auto"/>
        </w:rPr>
      </w:pPr>
    </w:p>
    <w:p>
      <w:pPr>
        <w:sectPr>
          <w:pgSz w:w="11900" w:h="16838" w:orient="portrait"/>
          <w:cols w:equalWidth="0" w:num="2">
            <w:col w:w="7220" w:space="720"/>
            <w:col w:w="3240"/>
          </w:cols>
          <w:pgMar w:left="320" w:top="988" w:right="39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40" w:lineRule="exact"/>
        <w:rPr>
          <w:sz w:val="24"/>
          <w:szCs w:val="24"/>
          <w:color w:val="auto"/>
        </w:rPr>
      </w:pPr>
    </w:p>
    <w:p>
      <w:pPr>
        <w:sectPr>
          <w:pgSz w:w="11900" w:h="16838" w:orient="portrait"/>
          <w:cols w:equalWidth="0" w:num="2">
            <w:col w:w="6340" w:space="720"/>
            <w:col w:w="4120"/>
          </w:cols>
          <w:pgMar w:left="320" w:top="988" w:right="39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1027 Newport Avenue</w:t>
      </w:r>
    </w:p>
    <w:p>
      <w:pPr>
        <w:sectPr>
          <w:pgSz w:w="11900" w:h="16838" w:orient="portrait"/>
          <w:cols w:equalWidth="0" w:num="1">
            <w:col w:w="11180"/>
          </w:cols>
          <w:pgMar w:left="320" w:top="988" w:right="399" w:bottom="1440" w:gutter="0" w:footer="0" w:header="0"/>
          <w:type w:val="continuous"/>
        </w:sectPr>
      </w:pPr>
    </w:p>
    <w:p>
      <w:pPr>
        <w:spacing w:after="0" w:line="6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Pawtucket, Rhode Island</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02861</w:t>
      </w:r>
    </w:p>
    <w:p>
      <w:pPr>
        <w:spacing w:after="0" w:line="54" w:lineRule="exact"/>
        <w:rPr>
          <w:sz w:val="24"/>
          <w:szCs w:val="24"/>
          <w:color w:val="auto"/>
        </w:rPr>
      </w:pPr>
    </w:p>
    <w:p>
      <w:pPr>
        <w:sectPr>
          <w:pgSz w:w="11900" w:h="16838" w:orient="portrait"/>
          <w:cols w:equalWidth="0" w:num="2">
            <w:col w:w="7420" w:space="720"/>
            <w:col w:w="3040"/>
          </w:cols>
          <w:pgMar w:left="320" w:top="988" w:right="3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165" w:lineRule="exact"/>
        <w:rPr>
          <w:sz w:val="24"/>
          <w:szCs w:val="24"/>
          <w:color w:val="auto"/>
        </w:rPr>
      </w:pPr>
    </w:p>
    <w:p>
      <w:pPr>
        <w:sectPr>
          <w:pgSz w:w="11900" w:h="16838" w:orient="portrait"/>
          <w:cols w:equalWidth="0" w:num="2">
            <w:col w:w="7260" w:space="720"/>
            <w:col w:w="3200"/>
          </w:cols>
          <w:pgMar w:left="320" w:top="988"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(401) 431-8697</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45"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80"/>
          </w:cols>
          <w:pgMar w:left="320" w:top="988" w:right="399" w:bottom="1440" w:gutter="0" w:footer="0" w:header="0"/>
          <w:type w:val="continuous"/>
        </w:sectPr>
      </w:pPr>
    </w:p>
    <w:p>
      <w:pPr>
        <w:spacing w:after="0" w:line="13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sectPr>
          <w:pgSz w:w="11900" w:h="16838" w:orient="portrait"/>
          <w:cols w:equalWidth="0" w:num="3">
            <w:col w:w="4200" w:space="720"/>
            <w:col w:w="1640" w:space="720"/>
            <w:col w:w="3900"/>
          </w:cols>
          <w:pgMar w:left="320" w:top="988" w:right="39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7"/>
          <w:szCs w:val="17"/>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148" w:lineRule="exact"/>
        <w:rPr>
          <w:sz w:val="24"/>
          <w:szCs w:val="24"/>
          <w:color w:val="auto"/>
        </w:rPr>
      </w:pPr>
    </w:p>
    <w:p>
      <w:pPr>
        <w:sectPr>
          <w:pgSz w:w="11900" w:h="16838" w:orient="portrait"/>
          <w:cols w:equalWidth="0" w:num="3">
            <w:col w:w="4700" w:space="720"/>
            <w:col w:w="1540" w:space="720"/>
            <w:col w:w="3500"/>
          </w:cols>
          <w:pgMar w:left="320" w:top="988" w:right="399" w:bottom="1440" w:gutter="0" w:footer="0" w:header="0"/>
          <w:type w:val="continuous"/>
        </w:sect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7" w:lineRule="exact"/>
        <w:rPr>
          <w:sz w:val="24"/>
          <w:szCs w:val="24"/>
          <w:color w:val="auto"/>
        </w:rPr>
      </w:pPr>
    </w:p>
    <w:p>
      <w:pPr>
        <w:ind w:right="240" w:firstLine="567"/>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13" w:lineRule="exact"/>
        <w:rPr>
          <w:sz w:val="24"/>
          <w:szCs w:val="24"/>
          <w:color w:val="auto"/>
        </w:rPr>
      </w:pPr>
    </w:p>
    <w:p>
      <w:pPr>
        <w:ind w:right="10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66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320"/>
              <w:spacing w:after="0"/>
              <w:rPr>
                <w:sz w:val="20"/>
                <w:szCs w:val="20"/>
                <w:color w:val="auto"/>
              </w:rPr>
            </w:pPr>
            <w:r>
              <w:rPr>
                <w:rFonts w:ascii="Arial" w:cs="Arial" w:eastAsia="Arial" w:hAnsi="Arial"/>
                <w:sz w:val="18"/>
                <w:szCs w:val="18"/>
                <w:color w:val="auto"/>
              </w:rPr>
              <w:t>x</w:t>
            </w:r>
          </w:p>
        </w:tc>
        <w:tc>
          <w:tcPr>
            <w:tcW w:w="42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180" w:firstLine="567"/>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92" w:lineRule="exact"/>
        <w:rPr>
          <w:sz w:val="24"/>
          <w:szCs w:val="24"/>
          <w:color w:val="auto"/>
        </w:rPr>
      </w:pPr>
    </w:p>
    <w:p>
      <w:pPr>
        <w:ind w:left="580"/>
        <w:spacing w:after="0" w:line="207" w:lineRule="exact"/>
        <w:tabs>
          <w:tab w:leader="none" w:pos="91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[x]</w:t>
      </w:r>
    </w:p>
    <w:p>
      <w:pPr>
        <w:spacing w:after="0" w:line="2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number of shares of Common Stock, par value $.50 per share, outstanding as of April 19, 2022 was 139,442,407.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8" w:right="399"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8"/>
          <w:szCs w:val="18"/>
          <w:b w:val="1"/>
          <w:bCs w:val="1"/>
          <w:color w:val="212529"/>
        </w:rPr>
        <w:t>Forward Looking Statement Safe Harbor</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12529"/>
        </w:rPr>
        <w:t>Certain statements in this Form 10-Q contain "forward-looking statements" within the meaning of the Private Securities Litigation Reform Act of 1995. These statements, which may be identified by the use of forward-looking words or phrases, include statements relating to: our business strategies; the ability to achieve our financial and business goals and objectives; anticipated financial performance or business prospects in future periods; our efforts to ship sufficient product to meet demand due to supply chain issues affecting businesses globally; the expected timing for scheduled new product introductions or our expectations concerning the future acceptance of products by customers; expected benefits and plans relating to acquired brands, properties and businesses; the development and timing of planned consumer and digital gaming products and entertainment releases; marketing and promotional efforts; research and development activities; expectations related to our manufacturing; impact of the coronavirus pandemic and other public health conditions on our business; expected benefits and cost-reductions from certain restructuring actions; capital expenditures; working capital; liquidity; timing of and amount of repayment of indebtedness; capital allocation strategy, including plans for dividends and share repurchases; and other financial, tax, accounting and similar matters. Our actual actions or results may differ materially from those expected or anticipated in the forward-looking statements due to both known and unknown risks and uncertainties. Factors that might cause such a difference include, but are not limited to:</w:t>
      </w:r>
    </w:p>
    <w:p>
      <w:pPr>
        <w:spacing w:after="0" w:line="8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develop, manufacture, source and ship products on a timely, cost-effective and profitable basis;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strategies to lessen the impact of any increased shipping costs, shipping delays or changes in required methods of shipping, as well as our ability to take any price increases to offset increased shipping costs, increases in prices of raw materials or other increases in costs of our products;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consumer interests in the types of products and entertainment we offer;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distribute engaging storytelling across media to drive brand awareness;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in the global play and entertainment industry, including with manufacturers, marketers, and sellers of toys and games, digital gaming products and digital media, as well as with film studios, television production companies and independent distributors and content producers;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evolve and transform our business and capabilities to address a changing global consumer landscape and retail environment, including changes to our supply chain, changing inventory and sales policies and practices of our customers and increased emphasis on ecommerce;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focus and scale select business initiatives and brands to drive profitability;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grow our consumer direct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on multi-generational brands;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party relationships, including with third party manufacturers, licensors of brands, studios, content producers and entertainment distribution channels;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concentration of manufacturing for many of our products in the People’s Republic of China and our ability to successfully diversify sourcing of our products to reduce reliance on sources of supply in China;</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execute plans to mitigate the negative impact of the coronavirus on our business, including, without limitation, negative impacts to our supply chain and costs that have occurred and could continue to occur in countries where we source significant amounts of product;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international operations, such as currency conversion, currency fluctuations, the imposition of tariffs, quotas, shipping delays or difficulties, border adjustment taxes or other protectionist measures, and other challenges in the territories in which we operate,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crisis between Russia and Ukraine on our business, including on receivables;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in global and regional economic conditions impacting one or more of the markets in which we sell products, which can negatively impact our retail customers and consumers, result in lower employment levels, consumer disposable income, retailer inventories and spending, including lower spending on purchases of our products;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and public health conditions or regulatory changes in the markets in which we and our customers, partners, licensees, suppliers and manufacturers operate, such as inflation, rising interest rates, higher commodity prices, labor costs or transportation costs, or outbreaks of disease, such as the coronavirus, the occurrence of which could create work slowdowns, delays or shortages in production or shipment of products, increases in costs or delays in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lost sales if we are unable to effectively and timely supply demand for product;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customers, potentially increasing the negative impact to our business of difficulties experienced by any of our customers or changes in their purchasing or selling patterns;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or other lack of success of one or more of our significant retailers, licensees and other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recent leadership changes;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talented and diverse employees;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cost-savings and efficiency and/or revenue enhancing initiatives;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assets and intellectual property, including as a result of infringement, theft, misappropriation, cyber-attacks or other acts compromising the integrity of our assets or intellectual property;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production of entertainment due to strikes, lockouts or other union actions that could halt or delay productions;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impairment and/or write-offs of products and films and television programs we acquire and produce;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investments, acquisitions and dispositions, including the ability to realize the anticipated benefits of acquired assets or businesses;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product recalls or product liability suits and costs associated with product safety regulations;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or the interpretation and application of such laws and regulations, which may cause us to alter tax reserves or make other changes which significantly impact our reported financial results;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or arbitration decisions or settlement actions;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as may be detailed from time to time in our public announcements and U.S. Securities and Exchange Commission (“SEC”) filings.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(Millions of Dollars Except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6" w:lineRule="exact"/>
        <w:rPr>
          <w:sz w:val="20"/>
          <w:szCs w:val="20"/>
          <w:color w:val="auto"/>
        </w:rPr>
      </w:pPr>
    </w:p>
    <w:p>
      <w:pPr>
        <w:jc w:val="right"/>
        <w:ind w:right="180"/>
        <w:spacing w:after="0"/>
        <w:tabs>
          <w:tab w:leader="none" w:pos="2240" w:val="left"/>
          <w:tab w:leader="none" w:pos="940" w:val="left"/>
        </w:tabs>
        <w:rPr>
          <w:sz w:val="20"/>
          <w:szCs w:val="20"/>
          <w:color w:val="auto"/>
        </w:rPr>
      </w:pPr>
      <w:r>
        <w:rPr>
          <w:rFonts w:ascii="Times New Roman" w:cs="Times New Roman" w:eastAsia="Times New Roman" w:hAnsi="Times New Roman"/>
          <w:sz w:val="16"/>
          <w:szCs w:val="16"/>
          <w:b w:val="1"/>
          <w:bCs w:val="1"/>
          <w:color w:val="auto"/>
        </w:rPr>
        <w:t>March 27,</w:t>
      </w:r>
      <w:r>
        <w:rPr>
          <w:sz w:val="20"/>
          <w:szCs w:val="20"/>
          <w:color w:val="auto"/>
        </w:rPr>
        <w:tab/>
      </w:r>
      <w:r>
        <w:rPr>
          <w:rFonts w:ascii="Times New Roman" w:cs="Times New Roman" w:eastAsia="Times New Roman" w:hAnsi="Times New Roman"/>
          <w:sz w:val="16"/>
          <w:szCs w:val="16"/>
          <w:b w:val="1"/>
          <w:bCs w:val="1"/>
          <w:color w:val="auto"/>
        </w:rPr>
        <w:t>March 28,</w:t>
      </w:r>
      <w:r>
        <w:rPr>
          <w:sz w:val="20"/>
          <w:szCs w:val="20"/>
          <w:color w:val="auto"/>
        </w:rPr>
        <w:tab/>
      </w:r>
      <w:r>
        <w:rPr>
          <w:rFonts w:ascii="Times New Roman" w:cs="Times New Roman" w:eastAsia="Times New Roman" w:hAnsi="Times New Roman"/>
          <w:sz w:val="16"/>
          <w:szCs w:val="16"/>
          <w:b w:val="1"/>
          <w:bCs w:val="1"/>
          <w:color w:val="auto"/>
        </w:rPr>
        <w:t>December 26,</w:t>
      </w:r>
    </w:p>
    <w:p>
      <w:pPr>
        <w:ind w:left="7520"/>
        <w:spacing w:after="0"/>
        <w:tabs>
          <w:tab w:leader="none" w:pos="8920" w:val="left"/>
          <w:tab w:leader="none" w:pos="1036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0628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ASSETS</w:t>
      </w:r>
    </w:p>
    <w:p>
      <w:pPr>
        <w:sectPr>
          <w:pgSz w:w="11900" w:h="16838" w:orient="portrait"/>
          <w:cols w:equalWidth="0" w:num="1">
            <w:col w:w="11200"/>
          </w:cols>
          <w:pgMar w:left="320" w:top="1062" w:right="379" w:bottom="1440" w:gutter="0" w:footer="0" w:header="0"/>
        </w:sectPr>
      </w:pP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r>
      <w:tr>
        <w:trPr>
          <w:trHeight w:val="252"/>
        </w:trPr>
        <w:tc>
          <w:tcPr>
            <w:tcW w:w="6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Cash and cash equivalents including restricted cash of $38.8 million, $72.1 million and</w:t>
            </w:r>
          </w:p>
        </w:tc>
        <w:tc>
          <w:tcPr>
            <w:tcW w:w="160" w:type="dxa"/>
            <w:vAlign w:val="bottom"/>
          </w:tcPr>
          <w:p>
            <w:pPr>
              <w:spacing w:after="0"/>
              <w:rPr>
                <w:sz w:val="21"/>
                <w:szCs w:val="21"/>
                <w:color w:val="auto"/>
              </w:rPr>
            </w:pPr>
          </w:p>
        </w:tc>
      </w:tr>
      <w:tr>
        <w:trPr>
          <w:trHeight w:val="261"/>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$35.8 million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$24.1 million, $32.5 million</w:t>
            </w:r>
          </w:p>
        </w:tc>
        <w:tc>
          <w:tcPr>
            <w:tcW w:w="160" w:type="dxa"/>
            <w:vAlign w:val="bottom"/>
          </w:tcPr>
          <w:p>
            <w:pPr>
              <w:spacing w:after="0"/>
              <w:rPr>
                <w:sz w:val="19"/>
                <w:szCs w:val="19"/>
                <w:color w:val="auto"/>
              </w:rPr>
            </w:pPr>
          </w:p>
        </w:tc>
      </w:tr>
      <w:tr>
        <w:trPr>
          <w:trHeight w:val="234"/>
        </w:trPr>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and $22.9 million</w:t>
            </w:r>
          </w:p>
        </w:tc>
        <w:tc>
          <w:tcPr>
            <w:tcW w:w="160" w:type="dxa"/>
            <w:vAlign w:val="bottom"/>
          </w:tcPr>
          <w:p>
            <w:pPr>
              <w:spacing w:after="0"/>
              <w:rPr>
                <w:sz w:val="20"/>
                <w:szCs w:val="20"/>
                <w:color w:val="auto"/>
              </w:rPr>
            </w:pPr>
          </w:p>
        </w:tc>
      </w:tr>
      <w:tr>
        <w:trPr>
          <w:trHeight w:val="252"/>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r>
      <w:tr>
        <w:trPr>
          <w:trHeight w:val="234"/>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0"/>
                <w:szCs w:val="20"/>
                <w:color w:val="auto"/>
              </w:rPr>
            </w:pPr>
          </w:p>
        </w:tc>
      </w:tr>
      <w:tr>
        <w:trPr>
          <w:trHeight w:val="243"/>
        </w:trPr>
        <w:tc>
          <w:tcPr>
            <w:tcW w:w="69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1"/>
                <w:szCs w:val="21"/>
                <w:color w:val="auto"/>
              </w:rPr>
            </w:pPr>
          </w:p>
        </w:tc>
      </w:tr>
      <w:tr>
        <w:trPr>
          <w:trHeight w:val="225"/>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less accumulated depreciation of $641.5 million, $563.5 million</w:t>
            </w:r>
          </w:p>
        </w:tc>
        <w:tc>
          <w:tcPr>
            <w:tcW w:w="160" w:type="dxa"/>
            <w:vAlign w:val="bottom"/>
          </w:tcPr>
          <w:p>
            <w:pPr>
              <w:spacing w:after="0"/>
              <w:rPr>
                <w:sz w:val="19"/>
                <w:szCs w:val="19"/>
                <w:color w:val="auto"/>
              </w:rPr>
            </w:pPr>
          </w:p>
        </w:tc>
      </w:tr>
      <w:tr>
        <w:trPr>
          <w:trHeight w:val="234"/>
        </w:trPr>
        <w:tc>
          <w:tcPr>
            <w:tcW w:w="6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$630.0 million</w:t>
            </w:r>
          </w:p>
        </w:tc>
        <w:tc>
          <w:tcPr>
            <w:tcW w:w="160" w:type="dxa"/>
            <w:vAlign w:val="bottom"/>
          </w:tcPr>
          <w:p>
            <w:pPr>
              <w:spacing w:after="0"/>
              <w:rPr>
                <w:sz w:val="20"/>
                <w:szCs w:val="20"/>
                <w:color w:val="auto"/>
              </w:rPr>
            </w:pPr>
          </w:p>
        </w:tc>
      </w:tr>
      <w:tr>
        <w:trPr>
          <w:trHeight w:val="25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r>
      <w:tr>
        <w:trPr>
          <w:trHeight w:val="234"/>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0"/>
                <w:szCs w:val="20"/>
                <w:color w:val="auto"/>
              </w:rPr>
            </w:pPr>
          </w:p>
        </w:tc>
      </w:tr>
      <w:tr>
        <w:trPr>
          <w:trHeight w:val="225"/>
        </w:trPr>
        <w:tc>
          <w:tcPr>
            <w:tcW w:w="6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$1,075.2 million, $999.7</w:t>
            </w:r>
          </w:p>
        </w:tc>
        <w:tc>
          <w:tcPr>
            <w:tcW w:w="160" w:type="dxa"/>
            <w:vAlign w:val="bottom"/>
          </w:tcPr>
          <w:p>
            <w:pPr>
              <w:spacing w:after="0"/>
              <w:rPr>
                <w:sz w:val="19"/>
                <w:szCs w:val="19"/>
                <w:color w:val="auto"/>
              </w:rPr>
            </w:pPr>
          </w:p>
        </w:tc>
      </w:tr>
      <w:tr>
        <w:trPr>
          <w:trHeight w:val="234"/>
        </w:trPr>
        <w:tc>
          <w:tcPr>
            <w:tcW w:w="69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million and $1,050.4 million</w:t>
            </w:r>
          </w:p>
        </w:tc>
        <w:tc>
          <w:tcPr>
            <w:tcW w:w="160" w:type="dxa"/>
            <w:vAlign w:val="bottom"/>
          </w:tcPr>
          <w:p>
            <w:pPr>
              <w:spacing w:after="0"/>
              <w:rPr>
                <w:sz w:val="20"/>
                <w:szCs w:val="20"/>
                <w:color w:val="auto"/>
              </w:rPr>
            </w:pPr>
          </w:p>
        </w:tc>
      </w:tr>
      <w:tr>
        <w:trPr>
          <w:trHeight w:val="257"/>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2"/>
                <w:szCs w:val="22"/>
                <w:color w:val="auto"/>
              </w:rPr>
            </w:pPr>
          </w:p>
        </w:tc>
      </w:tr>
      <w:tr>
        <w:trPr>
          <w:trHeight w:val="243"/>
        </w:trPr>
        <w:tc>
          <w:tcPr>
            <w:tcW w:w="69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Pr>
          <w:p>
            <w:pPr>
              <w:spacing w:after="0"/>
              <w:rPr>
                <w:sz w:val="21"/>
                <w:szCs w:val="21"/>
                <w:color w:val="auto"/>
              </w:rPr>
            </w:pPr>
          </w:p>
        </w:tc>
      </w:tr>
      <w:tr>
        <w:trPr>
          <w:trHeight w:val="270"/>
        </w:trPr>
        <w:tc>
          <w:tcPr>
            <w:tcW w:w="69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8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LIABILITIES, NONCONTROLLING INTERESTS AND SHAREHOLDERS' EQUITY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90"/>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4"/>
                <w:szCs w:val="24"/>
                <w:color w:val="auto"/>
              </w:rPr>
            </w:pPr>
          </w:p>
        </w:tc>
      </w:tr>
      <w:tr>
        <w:trPr>
          <w:trHeight w:val="297"/>
        </w:trPr>
        <w:tc>
          <w:tcPr>
            <w:tcW w:w="6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21"/>
                <w:szCs w:val="21"/>
                <w:color w:val="auto"/>
              </w:rPr>
            </w:pPr>
          </w:p>
        </w:tc>
      </w:tr>
      <w:tr>
        <w:trPr>
          <w:trHeight w:val="270"/>
        </w:trPr>
        <w:tc>
          <w:tcPr>
            <w:tcW w:w="6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3"/>
                <w:szCs w:val="23"/>
                <w:color w:val="auto"/>
              </w:rPr>
            </w:pPr>
          </w:p>
        </w:tc>
      </w:tr>
      <w:tr>
        <w:trPr>
          <w:trHeight w:val="270"/>
        </w:trPr>
        <w:tc>
          <w:tcPr>
            <w:tcW w:w="6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3"/>
                <w:szCs w:val="23"/>
                <w:color w:val="auto"/>
              </w:rPr>
            </w:pPr>
          </w:p>
        </w:tc>
      </w:tr>
      <w:tr>
        <w:trPr>
          <w:trHeight w:val="270"/>
        </w:trPr>
        <w:tc>
          <w:tcPr>
            <w:tcW w:w="69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3"/>
                <w:szCs w:val="23"/>
                <w:color w:val="auto"/>
              </w:rPr>
            </w:pPr>
          </w:p>
        </w:tc>
      </w:tr>
      <w:tr>
        <w:trPr>
          <w:trHeight w:val="270"/>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23"/>
                <w:szCs w:val="23"/>
                <w:color w:val="auto"/>
              </w:rPr>
            </w:pPr>
          </w:p>
        </w:tc>
      </w:tr>
      <w:tr>
        <w:trPr>
          <w:trHeight w:val="270"/>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-3968115</wp:posOffset>
            </wp:positionV>
            <wp:extent cx="710628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-3350895</wp:posOffset>
            </wp:positionV>
            <wp:extent cx="7106285"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-2305685</wp:posOffset>
            </wp:positionV>
            <wp:extent cx="710628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0628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0628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0628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0628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0628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0628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-2597150</wp:posOffset>
            </wp:positionV>
            <wp:extent cx="710628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-3059430</wp:posOffset>
            </wp:positionV>
            <wp:extent cx="710628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1,057.9</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r>
      <w:tr>
        <w:trPr>
          <w:trHeight w:val="481"/>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931.7</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w:t>
            </w:r>
          </w:p>
        </w:tc>
      </w:tr>
      <w:tr>
        <w:trPr>
          <w:trHeight w:val="230"/>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644.3</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r>
      <w:tr>
        <w:trPr>
          <w:trHeight w:val="234"/>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621.4</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w:t>
            </w:r>
          </w:p>
        </w:tc>
      </w:tr>
      <w:tr>
        <w:trPr>
          <w:trHeight w:val="228"/>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3,255.3</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3,728.1</w:t>
            </w:r>
          </w:p>
        </w:tc>
      </w:tr>
      <w:tr>
        <w:trPr>
          <w:trHeight w:val="481"/>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422.6</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w:t>
            </w:r>
          </w:p>
        </w:tc>
      </w:tr>
      <w:tr>
        <w:trPr>
          <w:trHeight w:val="439"/>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3,419.3</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3,419.6</w:t>
            </w:r>
          </w:p>
        </w:tc>
      </w:tr>
      <w:tr>
        <w:trPr>
          <w:trHeight w:val="481"/>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1,136.6</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r>
      <w:tr>
        <w:trPr>
          <w:trHeight w:val="234"/>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1,284.9</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1,297.0</w:t>
            </w:r>
          </w:p>
        </w:tc>
      </w:tr>
      <w:tr>
        <w:trPr>
          <w:trHeight w:val="223"/>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5,840.8</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5,888.6</w:t>
            </w:r>
          </w:p>
        </w:tc>
      </w:tr>
      <w:tr>
        <w:trPr>
          <w:trHeight w:val="223"/>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9,518.7</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10,037.8</w:t>
            </w:r>
          </w:p>
        </w:tc>
      </w:tr>
      <w:tr>
        <w:trPr>
          <w:trHeight w:val="20"/>
        </w:trPr>
        <w:tc>
          <w:tcPr>
            <w:tcW w:w="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77"/>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0"/>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155.8</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70"/>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411.7</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r>
      <w:tr>
        <w:trPr>
          <w:trHeight w:val="270"/>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1,371.4</w:t>
            </w: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w:t>
            </w:r>
          </w:p>
        </w:tc>
      </w:tr>
      <w:tr>
        <w:trPr>
          <w:trHeight w:val="250"/>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2,043.0</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2,455.9</w:t>
            </w:r>
          </w:p>
        </w:tc>
      </w:tr>
      <w:tr>
        <w:trPr>
          <w:trHeight w:val="270"/>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3,737.9</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3,824.2</w:t>
            </w:r>
          </w:p>
        </w:tc>
      </w:tr>
      <w:tr>
        <w:trPr>
          <w:trHeight w:val="270"/>
        </w:trPr>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633.6</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-1559560</wp:posOffset>
            </wp:positionV>
            <wp:extent cx="840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-1713865</wp:posOffset>
            </wp:positionV>
            <wp:extent cx="840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120" w:space="600"/>
            <w:col w:w="3480"/>
          </w:cols>
          <w:pgMar w:left="320" w:top="1062" w:right="37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6,414.5</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7,205.2</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6,950.8</w:t>
            </w:r>
          </w:p>
        </w:tc>
      </w:tr>
      <w:tr>
        <w:trPr>
          <w:trHeight w:val="25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bl>
    <w:p>
      <w:pPr>
        <w:spacing w:after="0" w:line="9" w:lineRule="exact"/>
        <w:rPr>
          <w:sz w:val="20"/>
          <w:szCs w:val="20"/>
          <w:color w:val="auto"/>
        </w:rPr>
      </w:pPr>
    </w:p>
    <w:p>
      <w:pPr>
        <w:sectPr>
          <w:pgSz w:w="11900" w:h="16838" w:orient="portrait"/>
          <w:cols w:equalWidth="0" w:num="1">
            <w:col w:w="11200"/>
          </w:cols>
          <w:pgMar w:left="320" w:top="1062"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Preference stock of $2.50 par value. Authorized 5,000,000 shares; none issued</w:t>
      </w:r>
    </w:p>
    <w:p>
      <w:pPr>
        <w:spacing w:after="0" w:line="63" w:lineRule="exact"/>
        <w:rPr>
          <w:sz w:val="20"/>
          <w:szCs w:val="20"/>
          <w:color w:val="auto"/>
        </w:rPr>
      </w:pPr>
    </w:p>
    <w:p>
      <w:pPr>
        <w:ind w:left="720" w:right="280" w:hanging="323"/>
        <w:spacing w:after="0" w:line="281" w:lineRule="auto"/>
        <w:rPr>
          <w:sz w:val="20"/>
          <w:szCs w:val="20"/>
          <w:color w:val="auto"/>
        </w:rPr>
      </w:pPr>
      <w:r>
        <w:rPr>
          <w:rFonts w:ascii="Times New Roman" w:cs="Times New Roman" w:eastAsia="Times New Roman" w:hAnsi="Times New Roman"/>
          <w:sz w:val="18"/>
          <w:szCs w:val="18"/>
          <w:color w:val="auto"/>
        </w:rPr>
        <w:t>Common stock of $0.50 par value. Authorized 600,000,000 shares; issued 220,286,736 shares at March 27, 2022, March 28, 2021, and December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63" w:lineRule="exact"/>
        <w:rPr>
          <w:sz w:val="20"/>
          <w:szCs w:val="20"/>
          <w:color w:val="auto"/>
        </w:rPr>
      </w:pPr>
    </w:p>
    <w:p>
      <w:pPr>
        <w:ind w:left="720" w:right="620" w:hanging="323"/>
        <w:spacing w:after="0" w:line="281" w:lineRule="auto"/>
        <w:rPr>
          <w:sz w:val="20"/>
          <w:szCs w:val="20"/>
          <w:color w:val="auto"/>
        </w:rPr>
      </w:pPr>
      <w:r>
        <w:rPr>
          <w:rFonts w:ascii="Times New Roman" w:cs="Times New Roman" w:eastAsia="Times New Roman" w:hAnsi="Times New Roman"/>
          <w:sz w:val="18"/>
          <w:szCs w:val="18"/>
          <w:color w:val="auto"/>
        </w:rPr>
        <w:t>Treasury stock, at cost; 80,844,603 shares at March 27, 2022; 82,724,111 shares at March 28, 2021; and 82,066,136 shares at December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420"/>
        <w:spacing w:after="0"/>
        <w:tabs>
          <w:tab w:leader="none" w:pos="1840" w:val="left"/>
          <w:tab w:leader="none" w:pos="3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200"/>
        <w:spacing w:after="0"/>
        <w:tabs>
          <w:tab w:leader="none" w:pos="1620" w:val="left"/>
          <w:tab w:leader="none" w:pos="3040" w:val="left"/>
        </w:tabs>
        <w:rPr>
          <w:sz w:val="20"/>
          <w:szCs w:val="20"/>
          <w:color w:val="auto"/>
        </w:rPr>
      </w:pPr>
      <w:r>
        <w:rPr>
          <w:rFonts w:ascii="Times New Roman" w:cs="Times New Roman" w:eastAsia="Times New Roman" w:hAnsi="Times New Roman"/>
          <w:sz w:val="18"/>
          <w:szCs w:val="18"/>
          <w:color w:val="auto"/>
        </w:rPr>
        <w:t>110.1</w:t>
      </w:r>
      <w:r>
        <w:rPr>
          <w:sz w:val="20"/>
          <w:szCs w:val="20"/>
          <w:color w:val="auto"/>
        </w:rPr>
        <w:tab/>
      </w:r>
      <w:r>
        <w:rPr>
          <w:rFonts w:ascii="Times New Roman" w:cs="Times New Roman" w:eastAsia="Times New Roman" w:hAnsi="Times New Roman"/>
          <w:sz w:val="18"/>
          <w:szCs w:val="18"/>
          <w:color w:val="auto"/>
        </w:rPr>
        <w:t>110.1</w:t>
      </w:r>
      <w:r>
        <w:rPr>
          <w:sz w:val="20"/>
          <w:szCs w:val="20"/>
          <w:color w:val="auto"/>
        </w:rPr>
        <w:tab/>
      </w:r>
      <w:r>
        <w:rPr>
          <w:rFonts w:ascii="Times New Roman" w:cs="Times New Roman" w:eastAsia="Times New Roman" w:hAnsi="Times New Roman"/>
          <w:sz w:val="17"/>
          <w:szCs w:val="17"/>
          <w:color w:val="auto"/>
        </w:rPr>
        <w:t>110.1</w:t>
      </w:r>
    </w:p>
    <w:p>
      <w:pPr>
        <w:spacing w:after="0" w:line="63" w:lineRule="exact"/>
        <w:rPr>
          <w:sz w:val="20"/>
          <w:szCs w:val="20"/>
          <w:color w:val="auto"/>
        </w:rPr>
      </w:pPr>
    </w:p>
    <w:p>
      <w:pPr>
        <w:ind w:left="60"/>
        <w:spacing w:after="0"/>
        <w:tabs>
          <w:tab w:leader="none" w:pos="1480" w:val="left"/>
          <w:tab w:leader="none" w:pos="2900" w:val="left"/>
        </w:tabs>
        <w:rPr>
          <w:sz w:val="20"/>
          <w:szCs w:val="20"/>
          <w:color w:val="auto"/>
        </w:rPr>
      </w:pPr>
      <w:r>
        <w:rPr>
          <w:rFonts w:ascii="Times New Roman" w:cs="Times New Roman" w:eastAsia="Times New Roman" w:hAnsi="Times New Roman"/>
          <w:sz w:val="18"/>
          <w:szCs w:val="18"/>
          <w:color w:val="auto"/>
        </w:rPr>
        <w:t>2,475.7</w:t>
      </w:r>
      <w:r>
        <w:rPr>
          <w:sz w:val="20"/>
          <w:szCs w:val="20"/>
          <w:color w:val="auto"/>
        </w:rPr>
        <w:tab/>
      </w:r>
      <w:r>
        <w:rPr>
          <w:rFonts w:ascii="Times New Roman" w:cs="Times New Roman" w:eastAsia="Times New Roman" w:hAnsi="Times New Roman"/>
          <w:sz w:val="18"/>
          <w:szCs w:val="18"/>
          <w:color w:val="auto"/>
        </w:rPr>
        <w:t>2,339.6</w:t>
      </w:r>
      <w:r>
        <w:rPr>
          <w:sz w:val="20"/>
          <w:szCs w:val="20"/>
          <w:color w:val="auto"/>
        </w:rPr>
        <w:tab/>
      </w:r>
      <w:r>
        <w:rPr>
          <w:rFonts w:ascii="Times New Roman" w:cs="Times New Roman" w:eastAsia="Times New Roman" w:hAnsi="Times New Roman"/>
          <w:sz w:val="18"/>
          <w:szCs w:val="18"/>
          <w:color w:val="auto"/>
        </w:rPr>
        <w:t>2,428.0</w:t>
      </w:r>
    </w:p>
    <w:p>
      <w:pPr>
        <w:spacing w:after="0" w:line="63" w:lineRule="exact"/>
        <w:rPr>
          <w:sz w:val="20"/>
          <w:szCs w:val="20"/>
          <w:color w:val="auto"/>
        </w:rPr>
      </w:pPr>
    </w:p>
    <w:p>
      <w:pPr>
        <w:ind w:left="60"/>
        <w:spacing w:after="0"/>
        <w:tabs>
          <w:tab w:leader="none" w:pos="1480" w:val="left"/>
          <w:tab w:leader="none" w:pos="2900" w:val="left"/>
        </w:tabs>
        <w:rPr>
          <w:sz w:val="20"/>
          <w:szCs w:val="20"/>
          <w:color w:val="auto"/>
        </w:rPr>
      </w:pPr>
      <w:r>
        <w:rPr>
          <w:rFonts w:ascii="Times New Roman" w:cs="Times New Roman" w:eastAsia="Times New Roman" w:hAnsi="Times New Roman"/>
          <w:sz w:val="18"/>
          <w:szCs w:val="18"/>
          <w:color w:val="auto"/>
        </w:rPr>
        <w:t>4,220.9</w:t>
      </w:r>
      <w:r>
        <w:rPr>
          <w:sz w:val="20"/>
          <w:szCs w:val="20"/>
          <w:color w:val="auto"/>
        </w:rPr>
        <w:tab/>
      </w:r>
      <w:r>
        <w:rPr>
          <w:rFonts w:ascii="Times New Roman" w:cs="Times New Roman" w:eastAsia="Times New Roman" w:hAnsi="Times New Roman"/>
          <w:sz w:val="18"/>
          <w:szCs w:val="18"/>
          <w:color w:val="auto"/>
        </w:rPr>
        <w:t>4,226.8</w:t>
      </w:r>
      <w:r>
        <w:rPr>
          <w:sz w:val="20"/>
          <w:szCs w:val="20"/>
          <w:color w:val="auto"/>
        </w:rPr>
        <w:tab/>
      </w:r>
      <w:r>
        <w:rPr>
          <w:rFonts w:ascii="Times New Roman" w:cs="Times New Roman" w:eastAsia="Times New Roman" w:hAnsi="Times New Roman"/>
          <w:sz w:val="18"/>
          <w:szCs w:val="18"/>
          <w:color w:val="auto"/>
        </w:rPr>
        <w:t>4,257.8</w:t>
      </w:r>
    </w:p>
    <w:p>
      <w:pPr>
        <w:spacing w:after="0" w:line="63" w:lineRule="exact"/>
        <w:rPr>
          <w:sz w:val="20"/>
          <w:szCs w:val="20"/>
          <w:color w:val="auto"/>
        </w:rPr>
      </w:pPr>
    </w:p>
    <w:p>
      <w:pPr>
        <w:ind w:left="120"/>
        <w:spacing w:after="0"/>
        <w:tabs>
          <w:tab w:leader="none" w:pos="1540" w:val="left"/>
          <w:tab w:leader="none" w:pos="2960" w:val="left"/>
        </w:tabs>
        <w:rPr>
          <w:sz w:val="20"/>
          <w:szCs w:val="20"/>
          <w:color w:val="auto"/>
        </w:rPr>
      </w:pPr>
      <w:r>
        <w:rPr>
          <w:rFonts w:ascii="Times New Roman" w:cs="Times New Roman" w:eastAsia="Times New Roman" w:hAnsi="Times New Roman"/>
          <w:sz w:val="18"/>
          <w:szCs w:val="18"/>
          <w:color w:val="auto"/>
        </w:rPr>
        <w:t>(246.9)</w:t>
      </w:r>
      <w:r>
        <w:rPr>
          <w:sz w:val="20"/>
          <w:szCs w:val="20"/>
          <w:color w:val="auto"/>
        </w:rPr>
        <w:tab/>
      </w:r>
      <w:r>
        <w:rPr>
          <w:rFonts w:ascii="Times New Roman" w:cs="Times New Roman" w:eastAsia="Times New Roman" w:hAnsi="Times New Roman"/>
          <w:sz w:val="18"/>
          <w:szCs w:val="18"/>
          <w:color w:val="auto"/>
        </w:rPr>
        <w:t>(206.4)</w:t>
      </w:r>
      <w:r>
        <w:rPr>
          <w:sz w:val="20"/>
          <w:szCs w:val="20"/>
          <w:color w:val="auto"/>
        </w:rPr>
        <w:tab/>
      </w:r>
      <w:r>
        <w:rPr>
          <w:rFonts w:ascii="Times New Roman" w:cs="Times New Roman" w:eastAsia="Times New Roman" w:hAnsi="Times New Roman"/>
          <w:sz w:val="18"/>
          <w:szCs w:val="18"/>
          <w:color w:val="auto"/>
        </w:rPr>
        <w:t>(235.3)</w:t>
      </w:r>
    </w:p>
    <w:p>
      <w:pPr>
        <w:spacing w:after="0" w:line="279" w:lineRule="exact"/>
        <w:rPr>
          <w:sz w:val="20"/>
          <w:szCs w:val="20"/>
          <w:color w:val="auto"/>
        </w:rPr>
      </w:pPr>
    </w:p>
    <w:p>
      <w:pPr>
        <w:spacing w:after="0"/>
        <w:tabs>
          <w:tab w:leader="none" w:pos="1400" w:val="left"/>
          <w:tab w:leader="none" w:pos="2840" w:val="left"/>
        </w:tabs>
        <w:rPr>
          <w:sz w:val="20"/>
          <w:szCs w:val="20"/>
          <w:color w:val="auto"/>
        </w:rPr>
      </w:pPr>
      <w:r>
        <w:rPr>
          <w:rFonts w:ascii="Times New Roman" w:cs="Times New Roman" w:eastAsia="Times New Roman" w:hAnsi="Times New Roman"/>
          <w:sz w:val="18"/>
          <w:szCs w:val="18"/>
          <w:color w:val="auto"/>
        </w:rPr>
        <w:t>(3,513.8)</w:t>
      </w:r>
      <w:r>
        <w:rPr>
          <w:sz w:val="20"/>
          <w:szCs w:val="20"/>
          <w:color w:val="auto"/>
        </w:rPr>
        <w:tab/>
      </w:r>
      <w:r>
        <w:rPr>
          <w:rFonts w:ascii="Times New Roman" w:cs="Times New Roman" w:eastAsia="Times New Roman" w:hAnsi="Times New Roman"/>
          <w:sz w:val="18"/>
          <w:szCs w:val="18"/>
          <w:color w:val="auto"/>
        </w:rPr>
        <w:t>(3,550.6)</w:t>
      </w:r>
      <w:r>
        <w:rPr>
          <w:sz w:val="20"/>
          <w:szCs w:val="20"/>
          <w:color w:val="auto"/>
        </w:rPr>
        <w:tab/>
      </w:r>
      <w:r>
        <w:rPr>
          <w:rFonts w:ascii="Times New Roman" w:cs="Times New Roman" w:eastAsia="Times New Roman" w:hAnsi="Times New Roman"/>
          <w:sz w:val="18"/>
          <w:szCs w:val="18"/>
          <w:color w:val="auto"/>
        </w:rPr>
        <w:t>(3,534.7)</w:t>
      </w:r>
    </w:p>
    <w:p>
      <w:pPr>
        <w:spacing w:after="0" w:line="63" w:lineRule="exact"/>
        <w:rPr>
          <w:sz w:val="20"/>
          <w:szCs w:val="20"/>
          <w:color w:val="auto"/>
        </w:rPr>
      </w:pPr>
    </w:p>
    <w:p>
      <w:pPr>
        <w:ind w:left="300"/>
        <w:spacing w:after="0"/>
        <w:tabs>
          <w:tab w:leader="none" w:pos="1700" w:val="left"/>
          <w:tab w:leader="none" w:pos="3140" w:val="left"/>
        </w:tabs>
        <w:rPr>
          <w:sz w:val="20"/>
          <w:szCs w:val="20"/>
          <w:color w:val="auto"/>
        </w:rPr>
      </w:pPr>
      <w:r>
        <w:rPr>
          <w:rFonts w:ascii="Times New Roman" w:cs="Times New Roman" w:eastAsia="Times New Roman" w:hAnsi="Times New Roman"/>
          <w:sz w:val="18"/>
          <w:szCs w:val="18"/>
          <w:color w:val="auto"/>
        </w:rPr>
        <w:t>34.7</w:t>
      </w:r>
      <w:r>
        <w:rPr>
          <w:sz w:val="20"/>
          <w:szCs w:val="20"/>
          <w:color w:val="auto"/>
        </w:rPr>
        <w:tab/>
      </w:r>
      <w:r>
        <w:rPr>
          <w:rFonts w:ascii="Times New Roman" w:cs="Times New Roman" w:eastAsia="Times New Roman" w:hAnsi="Times New Roman"/>
          <w:sz w:val="18"/>
          <w:szCs w:val="18"/>
          <w:color w:val="auto"/>
        </w:rPr>
        <w:t>40.4</w:t>
      </w:r>
      <w:r>
        <w:rPr>
          <w:sz w:val="20"/>
          <w:szCs w:val="20"/>
          <w:color w:val="auto"/>
        </w:rPr>
        <w:tab/>
      </w:r>
      <w:r>
        <w:rPr>
          <w:rFonts w:ascii="Times New Roman" w:cs="Times New Roman" w:eastAsia="Times New Roman" w:hAnsi="Times New Roman"/>
          <w:sz w:val="17"/>
          <w:szCs w:val="17"/>
          <w:color w:val="auto"/>
        </w:rPr>
        <w:t>37.2</w:t>
      </w:r>
    </w:p>
    <w:p>
      <w:pPr>
        <w:spacing w:after="0" w:line="27" w:lineRule="exact"/>
        <w:rPr>
          <w:sz w:val="20"/>
          <w:szCs w:val="20"/>
          <w:color w:val="auto"/>
        </w:rPr>
      </w:pPr>
    </w:p>
    <w:p>
      <w:pPr>
        <w:sectPr>
          <w:pgSz w:w="11900" w:h="16838" w:orient="portrait"/>
          <w:cols w:equalWidth="0" w:num="2">
            <w:col w:w="6940" w:space="720"/>
            <w:col w:w="3540"/>
          </w:cols>
          <w:pgMar w:left="320" w:top="1062" w:right="37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2,959.9</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3,063.1</w:t>
            </w:r>
          </w:p>
        </w:tc>
      </w:tr>
      <w:tr>
        <w:trPr>
          <w:trHeight w:val="248"/>
        </w:trPr>
        <w:tc>
          <w:tcPr>
            <w:tcW w:w="70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 noncontrolling interests and shareholders' equity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200"/>
          </w:cols>
          <w:pgMar w:left="320" w:top="1062"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20" w:type="dxa"/>
            <w:vAlign w:val="bottom"/>
          </w:tcPr>
          <w:p>
            <w:pPr>
              <w:spacing w:after="0"/>
              <w:rPr>
                <w:sz w:val="11"/>
                <w:szCs w:val="11"/>
                <w:color w:val="auto"/>
              </w:rPr>
            </w:pPr>
          </w:p>
        </w:tc>
        <w:tc>
          <w:tcPr>
            <w:tcW w:w="1100" w:type="dxa"/>
            <w:vAlign w:val="bottom"/>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29"/>
        </w:trPr>
        <w:tc>
          <w:tcPr>
            <w:tcW w:w="84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9"/>
        </w:trPr>
        <w:tc>
          <w:tcPr>
            <w:tcW w:w="84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30"/>
        </w:trPr>
        <w:tc>
          <w:tcPr>
            <w:tcW w:w="84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Selling, distribution and administration</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1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29"/>
        </w:trPr>
        <w:tc>
          <w:tcPr>
            <w:tcW w:w="84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Hasbro,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common share: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8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8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60" w:type="dxa"/>
            <w:vAlign w:val="bottom"/>
          </w:tcPr>
          <w:p>
            <w:pPr>
              <w:spacing w:after="0"/>
              <w:rPr>
                <w:sz w:val="11"/>
                <w:szCs w:val="11"/>
                <w:color w:val="auto"/>
              </w:rPr>
            </w:pPr>
          </w:p>
        </w:tc>
        <w:tc>
          <w:tcPr>
            <w:tcW w:w="1180" w:type="dxa"/>
            <w:vAlign w:val="bottom"/>
          </w:tcPr>
          <w:p>
            <w:pPr>
              <w:jc w:val="right"/>
              <w:ind w:right="313"/>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Unrealized holding gains on available-for-sale securities, net of tax</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(losses) gains on cash flow hedging activities, net of tax</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Reclassifications to earnings, net of tax:</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2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Net gains on cash flow hedging activities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260" w:type="dxa"/>
            <w:vAlign w:val="bottom"/>
            <w:tcBorders>
              <w:bottom w:val="single" w:sz="8" w:color="CCEEFF"/>
            </w:tcBorders>
          </w:tcPr>
          <w:p>
            <w:pPr>
              <w:ind w:left="1160"/>
              <w:spacing w:after="0"/>
              <w:rPr>
                <w:sz w:val="20"/>
                <w:szCs w:val="20"/>
                <w:color w:val="auto"/>
              </w:rPr>
            </w:pPr>
            <w:r>
              <w:rPr>
                <w:rFonts w:ascii="Times New Roman" w:cs="Times New Roman" w:eastAsia="Times New Roman" w:hAnsi="Times New Roman"/>
                <w:sz w:val="18"/>
                <w:szCs w:val="18"/>
                <w:color w:val="auto"/>
              </w:rPr>
              <w:t>Amortization of unrecognized pension and postretirement amounts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earnings attributable to noncontrolling interests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 attributable to Hasbro,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29"/>
        </w:trPr>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20" w:type="dxa"/>
            <w:vAlign w:val="bottom"/>
          </w:tcPr>
          <w:p>
            <w:pPr>
              <w:spacing w:after="0"/>
              <w:rPr>
                <w:sz w:val="11"/>
                <w:szCs w:val="11"/>
                <w:color w:val="auto"/>
              </w:rPr>
            </w:pPr>
          </w:p>
        </w:tc>
        <w:tc>
          <w:tcPr>
            <w:tcW w:w="1100" w:type="dxa"/>
            <w:vAlign w:val="bottom"/>
          </w:tcPr>
          <w:p>
            <w:pPr>
              <w:jc w:val="right"/>
              <w:ind w:right="251"/>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6"/>
        </w:trPr>
        <w:tc>
          <w:tcPr>
            <w:tcW w:w="8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of plant and equipment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non-cash items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operating assets and liabilities net of acquired balances: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r>
      <w:tr>
        <w:trPr>
          <w:trHeight w:val="229"/>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in inventories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 prepaid expenses and other current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Program spend,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 accounts payable and accrued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30"/>
        </w:trPr>
        <w:tc>
          <w:tcPr>
            <w:tcW w:w="8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4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8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4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Net cash utilized by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Proceeds from borrowings with maturity greater than three months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Repayments of borrowings with maturity greater than three months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30"/>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proceeds from other short-term borrowings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 transactions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30"/>
        </w:trPr>
        <w:tc>
          <w:tcPr>
            <w:tcW w:w="8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4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Net cash utilized by financing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w:t>
            </w: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1,430.4</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4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March 27, 2022</w:t>
            </w: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Additional</w:t>
            </w: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Retained</w:t>
            </w: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Accumulated Other</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Treasury</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1"/>
                <w:szCs w:val="11"/>
                <w:color w:val="auto"/>
              </w:rPr>
            </w:pPr>
          </w:p>
        </w:tc>
        <w:tc>
          <w:tcPr>
            <w:tcW w:w="98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Earnings</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Comprehensive Loss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26,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2,428.0</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4,257.8</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(3,534.7)</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3,063.1</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39"/>
        </w:trPr>
        <w:tc>
          <w:tcPr>
            <w:tcW w:w="1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2"/>
                <w:szCs w:val="12"/>
                <w:color w:val="auto"/>
              </w:rPr>
            </w:pP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put option value</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Other comprehensive</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tcPr>
          <w:p>
            <w:pPr>
              <w:spacing w:after="0"/>
              <w:rPr>
                <w:sz w:val="16"/>
                <w:szCs w:val="16"/>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Distributions paid to</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 owners and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foreign exchange</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27,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2,475.7</w:t>
            </w: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4,220.9</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1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(3,513.8)</w:t>
            </w:r>
          </w:p>
        </w:tc>
        <w:tc>
          <w:tcPr>
            <w:tcW w:w="1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3,080.7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March 28, 2021</w:t>
            </w: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Additional</w:t>
            </w: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Retained</w:t>
            </w: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Accumulated Other</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Treasury</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1"/>
                <w:szCs w:val="11"/>
                <w:color w:val="auto"/>
              </w:rPr>
            </w:pPr>
          </w:p>
        </w:tc>
        <w:tc>
          <w:tcPr>
            <w:tcW w:w="98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Earnings</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Comprehensive Loss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27,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2,329.1</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4,204.2</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(3,551.7)</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2,936.7</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2"/>
                <w:szCs w:val="12"/>
                <w:color w:val="auto"/>
              </w:rPr>
            </w:pP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Other comprehensive</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Distributions paid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noncontrolling owners and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28,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2,959.9</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1"/>
        </w:trPr>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5"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normal and recurring adjustments necessary to present fairly the consolidated financial position of Hasbro, Inc. and all majority-owned subsidiaries ("Hasbro" or the "Company") as of March 27, 2022 and March 28, 2021, and the results of its operations and cash flows and shareholders' equity for the periods then ended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notes thereto. Actual results could differ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quarters ended March 27, 2022 and March 28, 2021 were each 13-week periods.</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quarter ended March 27, 2022 are not necessarily indicative of results to be expected for the full year 2022, nor were those of the comparable 2021 period representative of those actually experienced for the full year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1 to the consolidated financial statements included in the Company's Annual Report on Form 10-K for the year ended December 26, 2021 ("2021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eOne Music Sale</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29, 2021, the Company completed the sale of eOne Music for net proceeds of $397.0 million, including the sales price of $385.0 million and $12.0 million of closing adjustments related to working capital and net debt calculations. The final proceeds were subject to further adjustment upon completion of closing working capital, which resulting in a net outflow of $0.9 million in the fourth quarter of 2021. Fiscal year 2021 includes two quarters of financial results for the eOne Music Business.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26, 2021 in its 2021 Form 10-K, which includes all such information and disclosures and, accordingly, should be read in conjunction with the financial information included herein.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27, 2022, there were no recently adopted accounting standards that had a material effect on the Company’s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Accounting Pronouncements</w:t>
      </w:r>
    </w:p>
    <w:p>
      <w:pPr>
        <w:spacing w:after="0" w:line="20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In March of 2020, the FASB issued Accounting Standards Update No. 2020-04 (ASU 2020-04) Reference Rate Reform (Topic 848): </w:t>
      </w:r>
      <w:r>
        <w:rPr>
          <w:rFonts w:ascii="Times New Roman" w:cs="Times New Roman" w:eastAsia="Times New Roman" w:hAnsi="Times New Roman"/>
          <w:sz w:val="18"/>
          <w:szCs w:val="18"/>
          <w:i w:val="1"/>
          <w:iCs w:val="1"/>
          <w:color w:val="auto"/>
        </w:rPr>
        <w:t>Facilitation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Effects of Reference Rate Reform on Financial Reporting. </w:t>
      </w:r>
      <w:r>
        <w:rPr>
          <w:rFonts w:ascii="Times New Roman" w:cs="Times New Roman" w:eastAsia="Times New Roman" w:hAnsi="Times New Roman"/>
          <w:sz w:val="18"/>
          <w:szCs w:val="18"/>
          <w:color w:val="auto"/>
        </w:rPr>
        <w:t>The amendments in this update provide optional expedients and exceptions for applying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change from LIBOR to an alternate rate has not had a material impact on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9" w:name="page10"/>
    <w:bookmarkEnd w:id="9"/>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3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Assets and Liabilities</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the Company’s Consumer Products, Wizards of the Coast and Digital Gaming and Entertainment segments enter into contracts to license certain of the Company’s intellectual property, providing licensees right-to-use access for use in the production and sale of consumer products and digital game development,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or through in-application purchases. These digital gaming revenues are recognized over a period of time, determined based on player usage patterns or the estimated playing life of the user or when additional downloadable content is made available.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The Company records contract assets in the case of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respectively, and the long-term portion is recorded within Other Long-Term Assets.</w:t>
      </w:r>
    </w:p>
    <w:p>
      <w:pPr>
        <w:spacing w:after="0" w:line="14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At March 27, 2022, March 28, 2021 and December 26, 2021 the Company had the following contract assets and liabilities in its consolidated balance sheets: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28,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450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Contract assets - current</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299.8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assets - long term</w:t>
            </w:r>
          </w:p>
        </w:tc>
        <w:tc>
          <w:tcPr>
            <w:tcW w:w="1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jc w:val="right"/>
              <w:ind w:right="14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394.4</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327.9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37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liabilities - long term</w:t>
            </w:r>
          </w:p>
        </w:tc>
        <w:tc>
          <w:tcPr>
            <w:tcW w:w="1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2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103.5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27, 2022, the Company collected $58.8 million of the contract assets and recognized $38.6 million of contract liabilities that were included in the December 26, 2021 balances.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Unsatisfied performance obligations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March 27, 2022, unrecognized revenue attributable to unsatisfied performance obligations expected to be recognized in the future were $315.2 million. Of this amount, we expect to recognize $208.1 million in the remainder of 2022, $91.9 million in 2023, $6.6 million in 2024 and $8.6 million in 2025. These amounts include only fixed considerations.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and Allowance for Credit Losses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balance for accounts receivable on the consolidated balance sheets as of March 27, 2022 and March 28, 2021 are primarily from contracts with customers. Of the Company’s accounts receivable, less allowance for doubtful accounts, of $931.7 million, approximately $35.0 million relates to accounts receivable held in Russia. The Company has insurance coverage for over 90% of Russia receivables. The Company had no material expense for credit losses for the quarters ended March 27, 2022 and March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 w:name="page11"/>
    <w:bookmarkEnd w:id="10"/>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disaggregates its revenues from contracts with customers by reportable segment: Consumer Products, Entertainment, and Wizards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Coast and Digital Gaming. The Company further disaggregates revenues within its Consumer Products segment by major geographic region: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Europe, Latin America, and Asia Pacific; within its Entertainment segment by category: Film &amp; TV, Family Brands, and Other; and within its</w:t>
      </w:r>
    </w:p>
    <w:p>
      <w:pPr>
        <w:spacing w:after="0" w:line="9"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Wizards of the Coast and Digital Gaming segment by line of business: Tabletop Gaming and Digital and Licensed Gaming. Finally, the Company disaggregates its revenues by brand portfolio into five brand categories: Franchise Brands, Partner Brands, Hasbro Gaming, Emerging Brands, and TV/Film/Entertainment. We believe these collectively depict how the nature, amount, timing and uncertainty of revenue and cash flows are affected by economic factors. See note 13 for further information.</w:t>
      </w:r>
    </w:p>
    <w:p>
      <w:pPr>
        <w:spacing w:after="0" w:line="15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per share data for the quarters ended March 27, 2022 and March 28, 2021 were computed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Quarter</w:t>
            </w:r>
          </w:p>
        </w:tc>
        <w:tc>
          <w:tcPr>
            <w:tcW w:w="260" w:type="dxa"/>
            <w:vAlign w:val="bottom"/>
          </w:tcPr>
          <w:p>
            <w:pPr>
              <w:spacing w:after="0"/>
              <w:rPr>
                <w:sz w:val="15"/>
                <w:szCs w:val="15"/>
                <w:color w:val="auto"/>
              </w:rPr>
            </w:pPr>
          </w:p>
        </w:tc>
        <w:tc>
          <w:tcPr>
            <w:tcW w:w="1300" w:type="dxa"/>
            <w:vAlign w:val="bottom"/>
            <w:gridSpan w:val="3"/>
          </w:tcPr>
          <w:p>
            <w:pPr>
              <w:jc w:val="right"/>
              <w:ind w:right="740"/>
              <w:spacing w:after="0" w:line="182" w:lineRule="exact"/>
              <w:rPr>
                <w:sz w:val="20"/>
                <w:szCs w:val="20"/>
                <w:color w:val="auto"/>
              </w:rPr>
            </w:pPr>
            <w:r>
              <w:rPr>
                <w:rFonts w:ascii="Times New Roman" w:cs="Times New Roman" w:eastAsia="Times New Roman" w:hAnsi="Times New Roman"/>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ind w:right="760"/>
              <w:spacing w:after="0" w:line="182" w:lineRule="exact"/>
              <w:rPr>
                <w:sz w:val="20"/>
                <w:szCs w:val="20"/>
                <w:color w:val="auto"/>
              </w:rPr>
            </w:pPr>
            <w:r>
              <w:rPr>
                <w:rFonts w:ascii="Times New Roman" w:cs="Times New Roman" w:eastAsia="Times New Roman" w:hAnsi="Times New Roman"/>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b w:val="1"/>
                <w:bCs w:val="1"/>
                <w:color w:val="auto"/>
              </w:rPr>
              <w:t>Diluted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Hasbro,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and other share-based awards</w:t>
            </w: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 Shares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attributable to Hasbro, Inc. per common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the quarters ended March 27, 2022 and March 28, 2021, options and restricted stock units totaling 2.5 million and 2.2 million, respectively, were excluded from the calculation of diluted earnings per share because to include them would have been anti-dilutive.</w:t>
      </w:r>
    </w:p>
    <w:p>
      <w:pPr>
        <w:spacing w:after="0" w:line="104"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first quarter of 2021, the Company realigned its financial reporting structure creating the following three principal reportable segments: Consumer Products, Wizards of the Coast and Digital Gaming and Entertainment. In our realignment, some, but not all, of our reporting units were changed. As a result of these changes, during 2021, the Company reallocated its goodwill among the revised reporting units based on the change in relative fair values of the respective reporting units.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operating segment, for the quarters ended March 27, 2022 and March 28, 2021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Consumer Products</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Wizards of the Coast</w:t>
            </w:r>
          </w:p>
        </w:tc>
        <w:tc>
          <w:tcPr>
            <w:tcW w:w="1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Entertainment</w:t>
            </w:r>
          </w:p>
        </w:tc>
        <w:tc>
          <w:tcPr>
            <w:tcW w:w="400" w:type="dxa"/>
            <w:vAlign w:val="bottom"/>
          </w:tcPr>
          <w:p>
            <w:pPr>
              <w:spacing w:after="0"/>
              <w:rPr>
                <w:sz w:val="18"/>
                <w:szCs w:val="18"/>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40" w:type="dxa"/>
            <w:vAlign w:val="bottom"/>
            <w:gridSpan w:val="3"/>
            <w:vMerge w:val="continue"/>
          </w:tcPr>
          <w:p>
            <w:pPr>
              <w:spacing w:after="0"/>
              <w:rPr>
                <w:sz w:val="20"/>
                <w:szCs w:val="20"/>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and Digital Gaming</w:t>
            </w:r>
          </w:p>
        </w:tc>
        <w:tc>
          <w:tcPr>
            <w:tcW w:w="184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9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26, 2021</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1,584.9</w:t>
            </w:r>
          </w:p>
        </w:tc>
        <w:tc>
          <w:tcPr>
            <w:tcW w:w="10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1,527.4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3,419.6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27, 2022</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1,584.8</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1,527.0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3,419.3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5"/>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2021</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27, 2020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allocation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28,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81"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Consumer Products</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Wizards of the Coast</w:t>
            </w:r>
          </w:p>
        </w:tc>
        <w:tc>
          <w:tcPr>
            <w:tcW w:w="19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Entertainment</w:t>
            </w:r>
          </w:p>
        </w:tc>
        <w:tc>
          <w:tcPr>
            <w:tcW w:w="380" w:type="dxa"/>
            <w:vAlign w:val="bottom"/>
          </w:tcPr>
          <w:p>
            <w:pPr>
              <w:spacing w:after="0"/>
              <w:rPr>
                <w:sz w:val="17"/>
                <w:szCs w:val="17"/>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820" w:type="dxa"/>
            <w:vAlign w:val="bottom"/>
            <w:gridSpan w:val="3"/>
            <w:vMerge w:val="continue"/>
          </w:tcPr>
          <w:p>
            <w:pPr>
              <w:spacing w:after="0"/>
              <w:rPr>
                <w:sz w:val="21"/>
                <w:szCs w:val="21"/>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and Digital Gaming</w:t>
            </w:r>
          </w:p>
        </w:tc>
        <w:tc>
          <w:tcPr>
            <w:tcW w:w="192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1,385.7</w:t>
            </w:r>
          </w:p>
        </w:tc>
        <w:tc>
          <w:tcPr>
            <w:tcW w:w="100" w:type="dxa"/>
            <w:vAlign w:val="bottom"/>
          </w:tcPr>
          <w:p>
            <w:pPr>
              <w:spacing w:after="0"/>
              <w:rPr>
                <w:sz w:val="24"/>
                <w:szCs w:val="24"/>
                <w:color w:val="auto"/>
              </w:rPr>
            </w:pPr>
          </w:p>
        </w:tc>
        <w:tc>
          <w:tcPr>
            <w:tcW w:w="17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tcPr>
          <w:p>
            <w:pPr>
              <w:spacing w:after="0"/>
              <w:rPr>
                <w:sz w:val="24"/>
                <w:szCs w:val="24"/>
                <w:color w:val="auto"/>
              </w:rPr>
            </w:pPr>
          </w:p>
        </w:tc>
        <w:tc>
          <w:tcPr>
            <w:tcW w:w="17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2,252.9</w:t>
            </w:r>
          </w:p>
        </w:tc>
        <w:tc>
          <w:tcPr>
            <w:tcW w:w="180" w:type="dxa"/>
            <w:vAlign w:val="bottom"/>
          </w:tcPr>
          <w:p>
            <w:pPr>
              <w:spacing w:after="0"/>
              <w:rPr>
                <w:sz w:val="24"/>
                <w:szCs w:val="24"/>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3,691.7</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254.2</w:t>
            </w:r>
          </w:p>
        </w:tc>
        <w:tc>
          <w:tcPr>
            <w:tcW w:w="18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(453.6)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0"/>
                <w:szCs w:val="20"/>
                <w:color w:val="auto"/>
              </w:rPr>
            </w:pPr>
          </w:p>
        </w:tc>
        <w:tc>
          <w:tcPr>
            <w:tcW w:w="1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3,691.4</w:t>
            </w:r>
          </w:p>
        </w:tc>
        <w:tc>
          <w:tcPr>
            <w:tcW w:w="0" w:type="dxa"/>
            <w:vAlign w:val="bottom"/>
          </w:tcPr>
          <w:p>
            <w:pPr>
              <w:spacing w:after="0"/>
              <w:rPr>
                <w:sz w:val="1"/>
                <w:szCs w:val="1"/>
                <w:color w:val="auto"/>
              </w:rPr>
            </w:pP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-770890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-479425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-187960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04" w:right="339" w:bottom="1440" w:gutter="0" w:footer="0" w:header="0"/>
        </w:sectPr>
      </w:pPr>
    </w:p>
    <w:p>
      <w:pPr>
        <w:spacing w:after="0" w:line="2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a definitive agreement to sell the Entertainment One Music business ("eOne Music"). Based on the value of the net assets held by eOne Music, which included goodwill and intangible assets allocated to eOne Music as part of the acquisition of Entertainment One in December 2019 (the "eOne Acquisition"), the Company recorded a pre-tax non-cash goodwill impairment charge of $108.8 million, during the second quarter of 2021, within Loss on Disposal of Business in the Consolidated Statements of Operations, and within the Entertainment segment. On June 29, 2021, during the Company's fiscal third quarter, the eOne Music sale was completed and associated goodwill and intangible assets of $162.2 million were removed from the consolidated financial statements.</w:t>
      </w:r>
    </w:p>
    <w:p>
      <w:pPr>
        <w:spacing w:after="0" w:line="143"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Comprehensive Earnings (Loss)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Components of other comprehensive earnings (loss) are presented within the consolidated statements of comprehensive earnings (loss). The following table presents the related tax effects on changes in other comprehensive earnings (loss) for the quarters ended March 27, 2022 and March 28,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169"/>
        </w:trPr>
        <w:tc>
          <w:tcPr>
            <w:tcW w:w="80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March 27,</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14"/>
                <w:szCs w:val="14"/>
                <w:color w:val="auto"/>
              </w:rPr>
            </w:pPr>
          </w:p>
        </w:tc>
      </w:tr>
      <w:tr>
        <w:trPr>
          <w:trHeight w:val="241"/>
        </w:trPr>
        <w:tc>
          <w:tcPr>
            <w:tcW w:w="80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52"/>
        </w:trPr>
        <w:tc>
          <w:tcPr>
            <w:tcW w:w="8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tax effect:</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on unrealized holding gains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(expense) on cash flow hedging activities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to earnings, tax effect: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 expense (benefit) on cash flow hedging activities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r>
      <w:tr>
        <w:trPr>
          <w:trHeight w:val="25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pension and postretirement amounts</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tax effect on other comprehensive earnings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73"/>
        </w:trPr>
        <w:tc>
          <w:tcPr>
            <w:tcW w:w="8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2" w:name="page13"/>
    <w:bookmarkEnd w:id="12"/>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Changes in the components of accumulated other comprehensive earnings (loss), net of tax for the quarters ended March 27, 2022 and March 28, 2021 are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2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4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416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26,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other comprehensive earnings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27,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1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27,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period other comprehensive earnings (loss)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28,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Gains (Losses) on Derivative Instruments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March 27, 2022, the Company had remaining net deferred gains on foreign currency forward contracts, net of tax, of $8.1 million in accumulated other comprehensive earnings (loss) ("AOCE"). These instruments hedge payments related to inventory purchased in the first quarter of 2022 or forecasted to be purchased during the remainder of 2022 through 2023, intercompany expenses expected to be paid or received during 2022, television and movie production costs paid in 2022 or expected to be paid in 2023 or 2024, and cash receipts for sales made at the end of the first quarter of 2022 or forecasted to be made in the remainder of 2022. These amounts will be reclassified into the consolidated statements of operations upon the sale of the related inventory, the recognition of the related production costs or the recognition of the related sales or intercompany expenses to be paid or received.</w:t>
      </w:r>
    </w:p>
    <w:p>
      <w:pPr>
        <w:spacing w:after="0" w:line="1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to foreign currency forward contracts, the Company entered into hedging contracts on future interest payments related to the 3.15% Notes, that were repaid in full in the aggregate principal amount of $300.0 million during the first quarter of 2021 (See note 7), and the 5.10% Notes due 2044. At the date of debt issuance, these contracts were terminated and the fair value on the date of settlement was deferred in AOCE and is being amortized to interest expense over the life of the related notes using the effective interest rate method. At March 27, 2022, deferred losses, net of tax of $15.4 million related to these instruments remained in AOCE. For the quarters ended March 27, 2022 and March 28, 2021, previously deferred losses of $0.2 million and $0.5 million, respectively, related to these instruments were reclassified from AOCE to net earnings.</w:t>
      </w:r>
    </w:p>
    <w:p>
      <w:pPr>
        <w:spacing w:after="0" w:line="14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Of the net deferred gains included in AOCE at March 27, 2022, the Company expects net gains of approximately $8.7 million to be reclassified to the consolidated statements of operations within the next 12 months. However, the amount ultimately realized in earnings is dependent on the fair value of the hedging instruments on the settlement dates.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for additional discussion on reclassifications from AOCE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3" w:name="page14"/>
    <w:bookmarkEnd w:id="13"/>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39"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Accrued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accrued liabilities for the periods ended March 27, 2022, March 28, 2021 and December 26, 2021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140" w:type="dxa"/>
            <w:vAlign w:val="bottom"/>
          </w:tcPr>
          <w:p>
            <w:pPr>
              <w:spacing w:after="0"/>
              <w:rPr>
                <w:sz w:val="21"/>
                <w:szCs w:val="21"/>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28, 2021</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Participations and residuals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6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6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6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management incentives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6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6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60" w:type="dxa"/>
            <w:vAlign w:val="bottom"/>
          </w:tcPr>
          <w:p>
            <w:pPr>
              <w:spacing w:after="0"/>
              <w:rPr>
                <w:sz w:val="19"/>
                <w:szCs w:val="19"/>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60" w:type="dxa"/>
            <w:vAlign w:val="bottom"/>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Pr>
          <w:p>
            <w:pPr>
              <w:spacing w:after="0"/>
              <w:rPr>
                <w:sz w:val="19"/>
                <w:szCs w:val="19"/>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IIC &amp; IIP</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6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6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Pr>
          <w:p>
            <w:pPr>
              <w:spacing w:after="0"/>
              <w:rPr>
                <w:sz w:val="19"/>
                <w:szCs w:val="19"/>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60" w:type="dxa"/>
            <w:vAlign w:val="bottom"/>
          </w:tcPr>
          <w:p>
            <w:pPr>
              <w:spacing w:after="0"/>
              <w:rPr>
                <w:sz w:val="19"/>
                <w:szCs w:val="19"/>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60" w:type="dxa"/>
            <w:vAlign w:val="bottom"/>
          </w:tcPr>
          <w:p>
            <w:pPr>
              <w:spacing w:after="0"/>
              <w:rPr>
                <w:sz w:val="21"/>
                <w:szCs w:val="2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96"/>
        </w:trPr>
        <w:tc>
          <w:tcPr>
            <w:tcW w:w="6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 w:name="page15"/>
    <w:bookmarkEnd w:id="14"/>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39"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Instruments</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short-term borrowings, accounts payable and certain accrued liabilities. At March 27, 2022, March 28, 2021 and December 26, 2021, the carrying cost of these instruments approximated their fair value. The Company's financial instruments at March 27, 2022, March 28, 2021 and December 26, 2021 also include certain assets and liabilities measured at fair value (see notes 10 and 11) as well as long-term borrowings. The carrying costs, which are equal to the outstanding principal amounts, and fair values of the Company's long-term borrowings as of March 27, 2022, March 28, 2021 and December 26, 2021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200" w:type="dxa"/>
            <w:vAlign w:val="bottom"/>
          </w:tcPr>
          <w:p>
            <w:pPr>
              <w:spacing w:after="0"/>
              <w:rPr>
                <w:sz w:val="20"/>
                <w:szCs w:val="20"/>
                <w:color w:val="auto"/>
              </w:rPr>
            </w:pPr>
          </w:p>
        </w:tc>
        <w:tc>
          <w:tcPr>
            <w:tcW w:w="264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March 28, 2021</w:t>
            </w:r>
          </w:p>
        </w:tc>
        <w:tc>
          <w:tcPr>
            <w:tcW w:w="200" w:type="dxa"/>
            <w:vAlign w:val="bottom"/>
          </w:tcPr>
          <w:p>
            <w:pPr>
              <w:spacing w:after="0"/>
              <w:rPr>
                <w:sz w:val="20"/>
                <w:szCs w:val="20"/>
                <w:color w:val="auto"/>
              </w:rPr>
            </w:pPr>
          </w:p>
        </w:tc>
        <w:tc>
          <w:tcPr>
            <w:tcW w:w="25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169"/>
        </w:trPr>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30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8"/>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2029</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991.7</w:t>
            </w: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3.55%</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6.35%</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2040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2.60% Notes Due 2022</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2044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6.60%</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 Due 2028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176"/>
        </w:trPr>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 Notes Due December 30,</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 Notes Due December 30,</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27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29"/>
        </w:trPr>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Production Financing Facilities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2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4,549.3</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Deferred debt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4,674.1</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3,824.2</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4,549.3</w:t>
            </w:r>
          </w:p>
        </w:tc>
      </w:tr>
      <w:tr>
        <w:trPr>
          <w:trHeight w:val="20"/>
        </w:trPr>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first quarter of 2022, the Company repaid $50.0 million of the Variable % Notes due December 30, 2024.</w:t>
      </w:r>
    </w:p>
    <w:p>
      <w:pPr>
        <w:spacing w:after="0" w:line="198"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7"/>
          <w:szCs w:val="17"/>
          <w:color w:val="212529"/>
        </w:rPr>
        <w:t xml:space="preserve">In November 2019, in conjunction with the Company's acquisition of eOne, the Company issued an aggregate of </w:t>
      </w:r>
      <w:r>
        <w:rPr>
          <w:rFonts w:ascii="Times New Roman" w:cs="Times New Roman" w:eastAsia="Times New Roman" w:hAnsi="Times New Roman"/>
          <w:sz w:val="17"/>
          <w:szCs w:val="17"/>
          <w:color w:val="000000"/>
        </w:rPr>
        <w:t>$2.4 billion</w:t>
      </w:r>
      <w:r>
        <w:rPr>
          <w:rFonts w:ascii="Times New Roman" w:cs="Times New Roman" w:eastAsia="Times New Roman" w:hAnsi="Times New Roman"/>
          <w:sz w:val="17"/>
          <w:szCs w:val="17"/>
          <w:color w:val="212529"/>
        </w:rPr>
        <w:t xml:space="preserve"> of senior unsecured debt securities (the "Notes") consisting of the following tranches: $300.0 million of notes due 2022 (the "2022 Notes") that bear interest at a fixed rate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12529"/>
        </w:rPr>
        <w:t>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outstanding, which range from five years to ten years from the date of issuance. During 2021, the Company repaid in full the $300.0 million of 2022 Notes and recorded $9.1 million of debt extinguishment costs within other expense (income) in the Consolidated Statements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Notes bear interest at the stated rates but may be subject to upward adjustment if the credit rating of the Company is reduced by Moody's or Standard</w:t>
      </w:r>
    </w:p>
    <w:p>
      <w:pPr>
        <w:spacing w:after="0" w:line="27" w:lineRule="exact"/>
        <w:rPr>
          <w:sz w:val="20"/>
          <w:szCs w:val="20"/>
          <w:color w:val="auto"/>
        </w:rPr>
      </w:pPr>
    </w:p>
    <w:p>
      <w:pPr>
        <w:ind w:right="100" w:firstLine="8"/>
        <w:spacing w:after="0" w:line="252" w:lineRule="auto"/>
        <w:tabs>
          <w:tab w:leader="none" w:pos="185" w:val="left"/>
        </w:tabs>
        <w:numPr>
          <w:ilvl w:val="0"/>
          <w:numId w:val="1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25 basis points (in the case of the 2024 Notes); (2) 30 basis points (in the case of the 2026 Notes); and (3)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5" w:name="page16"/>
    <w:bookmarkEnd w:id="15"/>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54"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In September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The full amount of the Term Loan Facilities were drawn down on December 30, 2019, the closing date of the eOne Acquisition. As of March 27, 2022, the Company has fully repaid the Three-Year Tranche $400.0 million principal term loan, and of the Five-Year Tranche $600.0 million principal balance, the Company has repaid a total of</w:t>
      </w:r>
    </w:p>
    <w:p>
      <w:pPr>
        <w:ind w:right="400"/>
        <w:spacing w:after="0" w:line="260" w:lineRule="auto"/>
        <w:rPr>
          <w:sz w:val="20"/>
          <w:szCs w:val="20"/>
          <w:color w:val="auto"/>
        </w:rPr>
      </w:pPr>
      <w:r>
        <w:rPr>
          <w:rFonts w:ascii="Times New Roman" w:cs="Times New Roman" w:eastAsia="Times New Roman" w:hAnsi="Times New Roman"/>
          <w:sz w:val="18"/>
          <w:szCs w:val="18"/>
          <w:color w:val="auto"/>
        </w:rPr>
        <w:t>$260.0 million in the following increments: $22.5 million in 2020; $180.0 million in 2021; and, $57.5 million in the first quarter of 2022 consisting of $50.0 million of the principal balance and a principal amortization payment of $7.5 million.</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12529"/>
        </w:rPr>
        <w:t>Loans under the remaining Five-Year Tranche bear interest at the Company’s option, at either the Eurocurrency Rate or the Base Rate, plus a per annum applicable rate that fluctuates between 100.0 basis points and 187.5 basis points, in the case of loans priced at the Eurocurrency Rate,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by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As of March 27, 2022, the Company was in compliance with the financial covenants contained in the Term Loan Agreement.</w:t>
      </w:r>
    </w:p>
    <w:p>
      <w:pPr>
        <w:spacing w:after="0" w:line="16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Company may redeem its 5.10% notes due in 2044 (the "2044 Notes") at its option, at the greater of the principal amount of the notes or the present value of the remaining scheduled payments, discounted using the effective interest rate on applicable U.S. Treasury bills at the time of repurchase.</w:t>
      </w:r>
    </w:p>
    <w:p>
      <w:pPr>
        <w:spacing w:after="0" w:line="99"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212529"/>
        </w:rPr>
        <w:t xml:space="preserve">Current portion of long-term debt at </w:t>
      </w:r>
      <w:r>
        <w:rPr>
          <w:rFonts w:ascii="Times New Roman" w:cs="Times New Roman" w:eastAsia="Times New Roman" w:hAnsi="Times New Roman"/>
          <w:sz w:val="18"/>
          <w:szCs w:val="18"/>
          <w:color w:val="000000"/>
        </w:rPr>
        <w:t>March 27, 2022</w:t>
      </w:r>
      <w:r>
        <w:rPr>
          <w:rFonts w:ascii="Times New Roman" w:cs="Times New Roman" w:eastAsia="Times New Roman" w:hAnsi="Times New Roman"/>
          <w:sz w:val="18"/>
          <w:szCs w:val="18"/>
          <w:color w:val="212529"/>
        </w:rPr>
        <w:t xml:space="preserve"> o</w:t>
      </w:r>
      <w:r>
        <w:rPr>
          <w:rFonts w:ascii="Times New Roman" w:cs="Times New Roman" w:eastAsia="Times New Roman" w:hAnsi="Times New Roman"/>
          <w:sz w:val="18"/>
          <w:szCs w:val="18"/>
          <w:color w:val="000000"/>
        </w:rPr>
        <w:t>f $155.8 million</w:t>
      </w:r>
      <w:r>
        <w:rPr>
          <w:rFonts w:ascii="Times New Roman" w:cs="Times New Roman" w:eastAsia="Times New Roman" w:hAnsi="Times New Roman"/>
          <w:sz w:val="18"/>
          <w:szCs w:val="18"/>
          <w:color w:val="212529"/>
        </w:rPr>
        <w:t xml:space="preserve">, as shown on the consolidated balance sheet, represents </w:t>
      </w:r>
      <w:r>
        <w:rPr>
          <w:rFonts w:ascii="Times New Roman" w:cs="Times New Roman" w:eastAsia="Times New Roman" w:hAnsi="Times New Roman"/>
          <w:sz w:val="18"/>
          <w:szCs w:val="18"/>
          <w:color w:val="000000"/>
        </w:rPr>
        <w:t>the current portion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required quarterly principal amortization payments for the 5-Year Tranche of the Term Loan Facilities and production financing facilities. </w:t>
      </w:r>
      <w:r>
        <w:rPr>
          <w:rFonts w:ascii="Times New Roman" w:cs="Times New Roman" w:eastAsia="Times New Roman" w:hAnsi="Times New Roman"/>
          <w:sz w:val="18"/>
          <w:szCs w:val="18"/>
          <w:color w:val="212529"/>
        </w:rPr>
        <w:t>All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Company’s other long-term borrowings have contractual maturities that occur subsequent to 2023 with the exception of certain of the Company's production financing facilities and annual principal payments related to the Term Loan Facilities.</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fair values of the Company's long-term debt are considered Level 3 fair values (see note 10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6" w:name="page17"/>
    <w:bookmarkEnd w:id="16"/>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Production Financing</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212529"/>
        </w:rPr>
        <w:t>In addition to the Company's financial instruments, t</w:t>
      </w:r>
      <w:r>
        <w:rPr>
          <w:rFonts w:ascii="Times New Roman" w:cs="Times New Roman" w:eastAsia="Times New Roman" w:hAnsi="Times New Roman"/>
          <w:sz w:val="18"/>
          <w:szCs w:val="18"/>
          <w:color w:val="000000"/>
        </w:rPr>
        <w:t>he Company uses production financing facilities to fund its film and television productions which are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typically arranged on an individual production basis by either special purpose production subsidiaries, each secured by future revenues of such production subsidiaries, which are non-recourse to the Company's assets, or through a senior revolving credit facility dedicated to production financing obtained in November 2021. The Company's senior revolving film and television production credit facility (the “RPCF”) with MUFG Union Bank, N.A., as administrative agent and lender and certain other financial institutions, as lenders thereto (the “Revolving Production Financing Agreement”)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 Going forward, the Company expects to utilize the RPCF for the majority of its production financing needs.</w:t>
      </w:r>
    </w:p>
    <w:p>
      <w:pPr>
        <w:spacing w:after="0" w:line="8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Production financing facilities typically have maturities of less than two years, while the titles are in production, and are repaid once delivered and all credits, broadcaster pre-sales and international sales have been received. The production financing facilities as of March 27, 2022, March 28, 2021 and December 26, 2021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200" w:type="dxa"/>
            <w:vAlign w:val="bottom"/>
          </w:tcPr>
          <w:p>
            <w:pPr>
              <w:spacing w:after="0"/>
              <w:rPr>
                <w:sz w:val="21"/>
                <w:szCs w:val="21"/>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28, 2021</w:t>
            </w:r>
          </w:p>
        </w:tc>
        <w:tc>
          <w:tcPr>
            <w:tcW w:w="18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223"/>
        </w:trPr>
        <w:tc>
          <w:tcPr>
            <w:tcW w:w="56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financing facilities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30"/>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loans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financing included in the consolidated balance sheet as: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23"/>
        </w:trPr>
        <w:tc>
          <w:tcPr>
            <w:tcW w:w="5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loans consist of production related demand loans, and are recorded within Short-term Borrowings in the Company's consolidated balance sheets.</w:t>
      </w:r>
    </w:p>
    <w:p>
      <w:pPr>
        <w:spacing w:after="0" w:line="14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Interest is charged at bank prime rate plus a margin based on the risk of the respective production. The weighted average interest rate on all production financing as of March 27, 2022 was 3.1%.</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Canadian dollar and U.S. dollar production financing loans with various banks. The carrying amounts are denominated in the following currencies: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Canadian Dollars</w:t>
            </w:r>
          </w:p>
        </w:tc>
        <w:tc>
          <w:tcPr>
            <w:tcW w:w="26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27,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432"/>
        </w:trPr>
        <w:tc>
          <w:tcPr>
            <w:tcW w:w="7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represents the movements in production financing loans during the first quarter of 2022:</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8"/>
        </w:trPr>
        <w:tc>
          <w:tcPr>
            <w:tcW w:w="5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Production</w:t>
            </w:r>
          </w:p>
        </w:tc>
      </w:tr>
      <w:tr>
        <w:trPr>
          <w:trHeight w:val="238"/>
        </w:trPr>
        <w:tc>
          <w:tcPr>
            <w:tcW w:w="59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26, 2021</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Drawdowns</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27, 2022</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repay all of its currently outstanding production financing loans by the first quarter of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b w:val="1"/>
          <w:bCs w:val="1"/>
          <w:u w:val="single" w:color="auto"/>
          <w:color w:val="auto"/>
        </w:rPr>
        <w:t>Investments in Productions and Investments in Acquired Content Rights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Investments in productions and investments in acquired content rights are predominantly monetized on a title-by-title basis and are recorded within other assets in the Company's consolidated balance sheets, to the extent they are considered recoverable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7" w:name="page18"/>
    <w:bookmarkEnd w:id="17"/>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film basis and any portion of the unamortized amount that appears not to be recoverable from future net revenues is expensed as part of program cost amortization during the period the loss becomes evident.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unamortized investments in productions and investments in acquired content rights consisted of the following at March 27,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2021, and December 26,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30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28,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4480" w:type="dxa"/>
            <w:vAlign w:val="bottom"/>
            <w:tcBorders>
              <w:top w:val="single" w:sz="8" w:color="CCEEFF"/>
            </w:tcBorders>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Investment in Films and Television Programs:</w:t>
            </w:r>
          </w:p>
        </w:tc>
        <w:tc>
          <w:tcPr>
            <w:tcW w:w="30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Individual Monetization</w:t>
            </w:r>
          </w:p>
        </w:tc>
        <w:tc>
          <w:tcPr>
            <w:tcW w:w="11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net of amortization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Completed and not released</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 production</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29"/>
        </w:trPr>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Pre-production</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3"/>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5"/>
          </w:tcPr>
          <w:p>
            <w:pPr>
              <w:spacing w:after="0" w:line="169" w:lineRule="exact"/>
              <w:rPr>
                <w:sz w:val="20"/>
                <w:szCs w:val="20"/>
                <w:color w:val="auto"/>
              </w:rPr>
            </w:pPr>
            <w:r>
              <w:rPr>
                <w:rFonts w:ascii="Times New Roman" w:cs="Times New Roman" w:eastAsia="Times New Roman" w:hAnsi="Times New Roman"/>
                <w:sz w:val="15"/>
                <w:szCs w:val="15"/>
                <w:color w:val="auto"/>
              </w:rPr>
              <w:t xml:space="preserve">Film/TV Group Monetization </w:t>
            </w:r>
            <w:r>
              <w:rPr>
                <w:rFonts w:ascii="Times New Roman" w:cs="Times New Roman" w:eastAsia="Times New Roman" w:hAnsi="Times New Roman"/>
                <w:sz w:val="19"/>
                <w:szCs w:val="19"/>
                <w:color w:val="auto"/>
                <w:vertAlign w:val="superscript"/>
              </w:rPr>
              <w:t>(1)</w:t>
            </w: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net of amortization</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production</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169"/>
        </w:trPr>
        <w:tc>
          <w:tcPr>
            <w:tcW w:w="20" w:type="dxa"/>
            <w:vAlign w:val="bottom"/>
          </w:tcPr>
          <w:p>
            <w:pPr>
              <w:spacing w:after="0"/>
              <w:rPr>
                <w:sz w:val="14"/>
                <w:szCs w:val="14"/>
                <w:color w:val="auto"/>
              </w:rPr>
            </w:pPr>
          </w:p>
        </w:tc>
        <w:tc>
          <w:tcPr>
            <w:tcW w:w="448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Investment in Other Programming</w:t>
            </w: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net of amortization</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Completed and not released</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 production</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Pre-production</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Program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Due to a monetization strategy change, as of December 26, 2021 the Company began monetizing certain content assets as a Film/TV group.</w:t>
      </w:r>
    </w:p>
    <w:p>
      <w:pPr>
        <w:spacing w:after="0" w:line="11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recorded $138.5 million of program cost amortization related to released programming in the quarter ended March 27, 2022, consisting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Investment in</w:t>
            </w:r>
          </w:p>
        </w:tc>
        <w:tc>
          <w:tcPr>
            <w:tcW w:w="26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Investment in</w:t>
            </w:r>
          </w:p>
        </w:tc>
        <w:tc>
          <w:tcPr>
            <w:tcW w:w="400" w:type="dxa"/>
            <w:vAlign w:val="bottom"/>
          </w:tcPr>
          <w:p>
            <w:pPr>
              <w:spacing w:after="0"/>
              <w:rPr>
                <w:sz w:val="18"/>
                <w:szCs w:val="18"/>
                <w:color w:val="auto"/>
              </w:rPr>
            </w:pP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Pr>
          <w:p>
            <w:pPr>
              <w:spacing w:after="0"/>
              <w:rPr>
                <w:sz w:val="18"/>
                <w:szCs w:val="18"/>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Production</w:t>
            </w:r>
          </w:p>
        </w:tc>
        <w:tc>
          <w:tcPr>
            <w:tcW w:w="260" w:type="dxa"/>
            <w:vAlign w:val="bottom"/>
          </w:tcPr>
          <w:p>
            <w:pPr>
              <w:spacing w:after="0"/>
              <w:rPr>
                <w:sz w:val="21"/>
                <w:szCs w:val="21"/>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Content</w:t>
            </w:r>
          </w:p>
        </w:tc>
        <w:tc>
          <w:tcPr>
            <w:tcW w:w="4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13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effective tax rate ("ETR") from continuing operations was 21.6% for the quarter ended March 27, 2022 and 9.3% for the quarter ended March 28,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caused the first quarter ETR to be significantly different from the prior year ETR:</w:t>
      </w:r>
    </w:p>
    <w:p>
      <w:pPr>
        <w:spacing w:after="0" w:line="185" w:lineRule="exact"/>
        <w:rPr>
          <w:sz w:val="20"/>
          <w:szCs w:val="20"/>
          <w:color w:val="auto"/>
        </w:rPr>
      </w:pPr>
    </w:p>
    <w:p>
      <w:pPr>
        <w:ind w:left="660" w:right="1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27, 2022, the Company recorded a net discrete tax benefit of $2.3 million primarily associated with the release of certain valuation allowances during the quarter; and</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28, 2021, the Company recorded a net discrete tax benefit of $8.9 million primarily associated with the decrease to our liability for uncertain tax positions that resulted from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8" w:name="page19"/>
    <w:bookmarkEnd w:id="18"/>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expiring in certain jurisdictions. Pre-tax income was benefited from a legal settlement gain, with no associated tax expense, due to the availability of net operating losses and release of the related valuation allowance on the net operating losses utilized by the settlement gain.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May 2019, a public referendum held in Switzerland approved the Swiss Federal Act on Tax Reform and AHV Financing ("TRAF") proposals previously approved by the Swiss Parliament. The Swiss tax reform measures were effective on January 1, 2020. Changes in tax reform include the abolishment of preferential tax regimes for holding companies, domicile companies and mixed companies at the cantonal level. The enacted changes in Swiss federal and cantonal tax, including cantonal transitional provisions adopted in 2021, were not material to the Company's financial statements.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no longer subject to U.S. federal income tax examinations for years before 2012. With few exceptions, the Company is no longer subject to U.S. state or local and non-U.S. income tax examinations by tax authorities in its major jurisdictions for years before 2014. The Company is currently under income tax examination by the Internal Revenue Service and in several U.S. state and local and non-U.S. jurisdictions.</w:t>
      </w:r>
    </w:p>
    <w:p>
      <w:pPr>
        <w:spacing w:after="0" w:line="145"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 There have been transfers between levels within the fair value hierarchy.</w:t>
      </w:r>
    </w:p>
    <w:p>
      <w:pPr>
        <w:spacing w:after="0" w:line="1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9" w:name="page20"/>
    <w:bookmarkEnd w:id="19"/>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March 27, 2022, March 28, 2021 and December 26, 2021, the Company had the following assets and liabilities measured at fair value in its consolidated balance sheets (excluding assets for which the fair value is measured using net asset value per share):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rPr>
              <w:t>Quoted</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Prices in</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Active</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1440" w:type="dxa"/>
            <w:vAlign w:val="bottom"/>
            <w:gridSpan w:val="2"/>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for</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Fair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Identical</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Observable</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CCEEFF"/>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8"/>
              </w:rPr>
              <w:t>March 27, 2022</w:t>
            </w:r>
          </w:p>
        </w:tc>
        <w:tc>
          <w:tcPr>
            <w:tcW w:w="43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March 28, 2021</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Option agreement</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December 26, 2021</w:t>
            </w:r>
          </w:p>
        </w:tc>
        <w:tc>
          <w:tcPr>
            <w:tcW w:w="4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Available-for-sale securities include equity securities of one company quoted on an active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0" w:name="page21"/>
    <w:bookmarkEnd w:id="20"/>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derivatives consist of foreign currency forward and option contracts. The Company uses current forward rates of the respective foreign currencies to measure the fair value of these contracts. The Company’s option agreement relates to an equity method investment in Discovery Family Channel ("Discovery"). The option agreement is included in other liabilities at March 27, 2022, March 28, 2021 and December 26, 2021, and is valued using an option pricing model based on the fair value of the related investment. Inputs used in the option pricing model include the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Due to the 2021 revaluation of the Discovery investment and resulting impairment charges, the Company reduced the option's fair value by $20.1 million during the fourth quarter of 2021. There were no changes in these valuation techniques during the quarter ended March 27, 2022.</w:t>
      </w:r>
    </w:p>
    <w:p>
      <w:pPr>
        <w:spacing w:after="0" w:line="16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beginning and ending balances of the fair value measurements of the Company's financial instruments which use significant unobservable inputs (Level 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from change in fair value</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first quarter</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Financial Instruments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Hasbro uses foreign currency forward contracts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loans (see note 7)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of the Company's designated foreign currency forward contracts are considered to be cash flow hedges. These instruments hedge a portion of the Company's currency requirements associated with anticipated inventory purchases, product sales, certain production financing loans and other cross-border transactions, primarily for the remainder of 2022, 2023, and to a lesser extent, 2024.</w:t>
      </w:r>
    </w:p>
    <w:p>
      <w:pPr>
        <w:spacing w:after="0" w:line="2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March 27, 2022, March 28, 2021 and December 26, 2021, the notional amounts and fair values of the Company's foreign currency forward contracts designated as cash flow hedging instruments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March 28, 2021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26,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Hedged transaction</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900" w:type="dxa"/>
            <w:vAlign w:val="bottom"/>
            <w:tcBorders>
              <w:top w:val="single" w:sz="8" w:color="auto"/>
            </w:tcBorders>
          </w:tcPr>
          <w:p>
            <w:pPr>
              <w:jc w:val="center"/>
              <w:ind w:left="31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940" w:type="dxa"/>
            <w:vAlign w:val="bottom"/>
            <w:tcBorders>
              <w:top w:val="single" w:sz="8" w:color="auto"/>
            </w:tcBorders>
          </w:tcPr>
          <w:p>
            <w:pPr>
              <w:jc w:val="center"/>
              <w:ind w:left="29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3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center"/>
              <w:ind w:left="310"/>
              <w:spacing w:after="0" w:line="202"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tcPr>
          <w:p>
            <w:pPr>
              <w:jc w:val="center"/>
              <w:ind w:left="29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2"/>
          </w:tcPr>
          <w:p>
            <w:pPr>
              <w:jc w:val="center"/>
              <w:ind w:right="60"/>
              <w:spacing w:after="0" w:line="202"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financing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5"/>
        </w:trPr>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1" w:name="page22"/>
    <w:bookmarkEnd w:id="21"/>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March 27, 2022, March 28, 2021 and December 26, 2021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27,</w:t>
            </w: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26,</w:t>
            </w:r>
          </w:p>
        </w:tc>
      </w:tr>
      <w:tr>
        <w:trPr>
          <w:trHeight w:val="241"/>
        </w:trPr>
        <w:tc>
          <w:tcPr>
            <w:tcW w:w="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2"/>
        </w:trPr>
        <w:tc>
          <w:tcPr>
            <w:tcW w:w="20" w:type="dxa"/>
            <w:vAlign w:val="bottom"/>
            <w:shd w:val="clear" w:color="auto" w:fill="CCEEFF"/>
          </w:tcPr>
          <w:p>
            <w:pPr>
              <w:spacing w:after="0"/>
              <w:rPr>
                <w:sz w:val="16"/>
                <w:szCs w:val="16"/>
                <w:color w:val="auto"/>
              </w:rPr>
            </w:pPr>
          </w:p>
        </w:tc>
        <w:tc>
          <w:tcPr>
            <w:tcW w:w="6380" w:type="dxa"/>
            <w:vAlign w:val="bottom"/>
            <w:gridSpan w:val="5"/>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09"/>
        </w:trPr>
        <w:tc>
          <w:tcPr>
            <w:tcW w:w="20" w:type="dxa"/>
            <w:vAlign w:val="bottom"/>
            <w:shd w:val="clear" w:color="auto" w:fill="CCEEFF"/>
          </w:tcPr>
          <w:p>
            <w:pPr>
              <w:spacing w:after="0"/>
              <w:rPr>
                <w:sz w:val="18"/>
                <w:szCs w:val="18"/>
                <w:color w:val="auto"/>
              </w:rPr>
            </w:pPr>
          </w:p>
        </w:tc>
        <w:tc>
          <w:tcPr>
            <w:tcW w:w="63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Accrued liabilities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4980" w:type="dxa"/>
            <w:vAlign w:val="bottom"/>
            <w:tcBorders>
              <w:top w:val="single" w:sz="8" w:color="CCEEFF"/>
            </w:tcBorders>
            <w:gridSpan w:val="2"/>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unrealized losses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liabilities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gains (losses) on cash flow hedging activities have been reclassified from other comprehensive earnings (loss) to net earnings for the quarters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2022 and March 28, 2021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7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March 27,</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300" w:type="dxa"/>
            <w:vAlign w:val="bottom"/>
          </w:tcPr>
          <w:p>
            <w:pPr>
              <w:spacing w:after="0"/>
              <w:rPr>
                <w:sz w:val="14"/>
                <w:szCs w:val="14"/>
                <w:color w:val="auto"/>
              </w:rPr>
            </w:pPr>
          </w:p>
        </w:tc>
      </w:tr>
      <w:tr>
        <w:trPr>
          <w:trHeight w:val="241"/>
        </w:trPr>
        <w:tc>
          <w:tcPr>
            <w:tcW w:w="2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Statements of Operations Classification</w:t>
            </w:r>
          </w:p>
        </w:tc>
        <w:tc>
          <w:tcPr>
            <w:tcW w:w="47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0.5</w:t>
            </w:r>
          </w:p>
        </w:tc>
      </w:tr>
      <w:tr>
        <w:trPr>
          <w:trHeight w:val="229"/>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0.9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Undesignated Hedges</w:t>
      </w:r>
    </w:p>
    <w:p>
      <w:pPr>
        <w:spacing w:after="0" w:line="20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to manage transactional exposure to fair value movements on certain monetary assets and liabilities denominated in foreign currencies, the Company has implemented a balance sheet hedging program. The Company does not use hedge accounting for these contracts as changes in the fair values of these contracts are offset by changes in the fair value of the balance sheet items. As of March 27, 2022, March 28, 2021 and December 26, 2021 the total notional amounts of the Company's undesignated derivative instruments were $665.0 million, $653.4 million and $632.0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22" w:name="page23"/>
    <w:bookmarkEnd w:id="22"/>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March 27, 2022, March 28, 2021 and December 26, 2021, the fair values of the Company's undesignated derivative financial instruments were recorded in the consolidated balance sheets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27,</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28,</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26,</w:t>
            </w:r>
          </w:p>
        </w:tc>
      </w:tr>
      <w:tr>
        <w:trPr>
          <w:trHeight w:val="241"/>
        </w:trPr>
        <w:tc>
          <w:tcPr>
            <w:tcW w:w="2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2"/>
        </w:trPr>
        <w:tc>
          <w:tcPr>
            <w:tcW w:w="20" w:type="dxa"/>
            <w:vAlign w:val="bottom"/>
            <w:shd w:val="clear" w:color="auto" w:fill="CCEEFF"/>
          </w:tcPr>
          <w:p>
            <w:pPr>
              <w:spacing w:after="0"/>
              <w:rPr>
                <w:sz w:val="16"/>
                <w:szCs w:val="16"/>
                <w:color w:val="auto"/>
              </w:rPr>
            </w:pPr>
          </w:p>
        </w:tc>
        <w:tc>
          <w:tcPr>
            <w:tcW w:w="6380" w:type="dxa"/>
            <w:vAlign w:val="bottom"/>
            <w:gridSpan w:val="4"/>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tcBorders>
          </w:tcPr>
          <w:p>
            <w:pPr>
              <w:jc w:val="center"/>
              <w:ind w:left="830"/>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3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Accrued liabilities</w:t>
            </w: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8"/>
              </w:rPr>
              <w:t>(2.5)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losses</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8"/>
              </w:rPr>
              <w:t>(2.4)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unrealized gains (losses), net</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net (losses) of $(2.6) million and $(6.1) million on these instruments to other (income) expense, net for the quarters ended</w:t>
      </w:r>
    </w:p>
    <w:p>
      <w:pPr>
        <w:spacing w:after="0" w:line="27"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March 27, 2022 and March 28, 2021, respectively, relating to the change in fair value of such derivatives, substantially offsetting gains and losses from the change in fair value of intercompany loans to which the contracts relate.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related to the Company's derivative financial instruments (see notes 5 and 10).</w:t>
      </w:r>
    </w:p>
    <w:p>
      <w:pPr>
        <w:spacing w:after="0" w:line="181"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occupies offices and uses certain equipment under various operating lease arrangements. The Company has no material finance leases. These leases have remaining lease terms of 1 to 17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rent expense under such arrangements and similar arrangements that do not qualify as leases under ASU 2016-02, net of sublease income amounted to $22.3 million and $21.8 million for the quarters ended March 27, 2022 and March 28, 2021, respectively, and was not material to the Company's financial statements nor were expenses related to short-term leases (expected terms less than 12 months) or variable lease payments was not material in the quarters ended March 27, 2022 or March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3" w:name="page24"/>
    <w:bookmarkEnd w:id="23"/>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Company’s leases for the quarters ended March 27, 2022 and March 28, 2021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169"/>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March 27,</w:t>
            </w:r>
          </w:p>
        </w:tc>
        <w:tc>
          <w:tcPr>
            <w:tcW w:w="260" w:type="dxa"/>
            <w:vAlign w:val="bottom"/>
          </w:tcPr>
          <w:p>
            <w:pPr>
              <w:spacing w:after="0"/>
              <w:rPr>
                <w:sz w:val="14"/>
                <w:szCs w:val="14"/>
                <w:color w:val="auto"/>
              </w:rPr>
            </w:pPr>
          </w:p>
        </w:tc>
        <w:tc>
          <w:tcPr>
            <w:tcW w:w="138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78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r>
      <w:tr>
        <w:trPr>
          <w:trHeight w:val="270"/>
        </w:trPr>
        <w:tc>
          <w:tcPr>
            <w:tcW w:w="7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5.4 years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years</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future undiscounted cash flows to the operating liabilities, and the related right of use assets, included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March 27,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410"/>
              <w:spacing w:after="0" w:line="189" w:lineRule="exact"/>
              <w:rPr>
                <w:sz w:val="20"/>
                <w:szCs w:val="20"/>
                <w:color w:val="auto"/>
              </w:rPr>
            </w:pPr>
            <w:r>
              <w:rPr>
                <w:rFonts w:ascii="Times New Roman" w:cs="Times New Roman" w:eastAsia="Times New Roman" w:hAnsi="Times New Roman"/>
                <w:sz w:val="18"/>
                <w:szCs w:val="18"/>
                <w:b w:val="1"/>
                <w:bCs w:val="1"/>
                <w:color w:val="auto"/>
              </w:rPr>
              <w:t>March 27,</w:t>
            </w:r>
          </w:p>
        </w:tc>
      </w:tr>
      <w:tr>
        <w:trPr>
          <w:trHeight w:val="241"/>
        </w:trPr>
        <w:tc>
          <w:tcPr>
            <w:tcW w:w="94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(excluding the three months ended March 27, 2022)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future operating lease payments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30"/>
        </w:trPr>
        <w:tc>
          <w:tcPr>
            <w:tcW w:w="9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portion of operating lease liabilities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48"/>
        </w:trPr>
        <w:tc>
          <w:tcPr>
            <w:tcW w:w="94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Non-current operating lease liability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4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Operating lease right-of-use assets, net </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156.7</w:t>
            </w:r>
          </w:p>
        </w:tc>
      </w:tr>
      <w:tr>
        <w:trPr>
          <w:trHeight w:val="20"/>
        </w:trPr>
        <w:tc>
          <w:tcPr>
            <w:tcW w:w="9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Accrued liabilities on the consolidated balance sheets.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Other liabilities on the consolidated balance sheets.</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Property, plant, and equipment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Hasbro is a global play and entertainment company with a broad portfolio of brands and entertainment content spanning toys, games, licensed products ranging from traditional to digital, as well as film and television entertainment. Effective for the three months ended March 28, 2021, the Company realigned its reportable segment structure to: (1) align with changes to its business structure subsequent to the integration of eOne; and (2) reflect changes to its reporting structure and provide transparency into how operating performance is measured. The Company's three principal reportable segments are (i) Consumer Products, (ii) Wizards of the Coast and Digital Gaming, and (iii) Entertainment.</w:t>
      </w:r>
    </w:p>
    <w:p>
      <w:pPr>
        <w:spacing w:after="0" w:line="14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The Wizards of the Coast and Digital Gaming business engages in the promotion of the Company's brands through the development of trading card, role-playing and digital game experiences based on Hasbro and Wizards of the Coast games. Additionally, the Company out-licenses certain brands to other third-party digital game developers who transform Hasbro brand-based characters and other intellectual properties, into digital gaming experiences. The Entertainment segment engages in the development, acquisition, production, financing, distribution and sale of world-class entertainment content including film, scripted and unscripted television, family programming, digital content and live entertainment.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accounting policies of the Company's segments are the same as those referenced in note 1.</w:t>
      </w:r>
    </w:p>
    <w:p>
      <w:pPr>
        <w:spacing w:after="0" w:line="19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Results shown for the quarter ended March 27, 2022 are not necessarily representative of those which may be expected for the full year 2022, nor were those of the comparable 2021 periods representative of those actually experienced for the full year 2021. Similarly, such results are not necessarily those which would be achieved were each segment an unaffiliated business enterprise.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by segment and a reconciliation to reported amounts for the quarters ended March 27, 2022 and March 28,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220" w:type="dxa"/>
            <w:vAlign w:val="bottom"/>
          </w:tcPr>
          <w:p>
            <w:pPr>
              <w:spacing w:after="0"/>
              <w:rPr>
                <w:sz w:val="19"/>
                <w:szCs w:val="19"/>
                <w:color w:val="auto"/>
              </w:rPr>
            </w:pPr>
          </w:p>
        </w:tc>
        <w:tc>
          <w:tcPr>
            <w:tcW w:w="25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March 28, 2021</w:t>
            </w: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2"/>
                <w:szCs w:val="12"/>
                <w:b w:val="1"/>
                <w:bCs w:val="1"/>
                <w:color w:val="auto"/>
              </w:rPr>
              <w:t>(c)</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2"/>
                <w:szCs w:val="12"/>
                <w:b w:val="1"/>
                <w:bCs w:val="1"/>
                <w:color w:val="auto"/>
              </w:rPr>
              <w:t>(c)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2"/>
                <w:szCs w:val="12"/>
                <w:color w:val="auto"/>
              </w:rPr>
              <w:t>(a)</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240" w:type="dxa"/>
            <w:vAlign w:val="bottom"/>
          </w:tcPr>
          <w:p>
            <w:pPr>
              <w:spacing w:after="0"/>
              <w:rPr>
                <w:sz w:val="14"/>
                <w:szCs w:val="14"/>
                <w:color w:val="auto"/>
              </w:rPr>
            </w:pPr>
          </w:p>
        </w:tc>
        <w:tc>
          <w:tcPr>
            <w:tcW w:w="14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March 27,</w:t>
            </w:r>
          </w:p>
        </w:tc>
        <w:tc>
          <w:tcPr>
            <w:tcW w:w="24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Consumer Products </w:t>
            </w:r>
            <w:r>
              <w:rPr>
                <w:rFonts w:ascii="Times New Roman" w:cs="Times New Roman" w:eastAsia="Times New Roman" w:hAnsi="Times New Roman"/>
                <w:sz w:val="12"/>
                <w:szCs w:val="12"/>
                <w:color w:val="auto"/>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Entertainment </w:t>
            </w:r>
            <w:r>
              <w:rPr>
                <w:rFonts w:ascii="Times New Roman" w:cs="Times New Roman" w:eastAsia="Times New Roman" w:hAnsi="Times New Roman"/>
                <w:sz w:val="12"/>
                <w:szCs w:val="12"/>
                <w:color w:val="auto"/>
              </w:rPr>
              <w:t>(a)</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2"/>
                <w:szCs w:val="12"/>
                <w:color w:val="auto"/>
              </w:rPr>
              <w:t>(a)</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5" w:name="page26"/>
    <w:bookmarkEnd w:id="25"/>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27,</w:t>
            </w: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Consumer Products </w:t>
            </w:r>
            <w:r>
              <w:rPr>
                <w:rFonts w:ascii="Times New Roman" w:cs="Times New Roman" w:eastAsia="Times New Roman" w:hAnsi="Times New Roman"/>
                <w:sz w:val="12"/>
                <w:szCs w:val="12"/>
                <w:color w:val="auto"/>
              </w:rPr>
              <w:t>(b)</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4,817.9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240" w:type="dxa"/>
            <w:vAlign w:val="bottom"/>
          </w:tcPr>
          <w:p>
            <w:pPr>
              <w:spacing w:after="0"/>
              <w:rPr>
                <w:sz w:val="19"/>
                <w:szCs w:val="19"/>
                <w:color w:val="auto"/>
              </w:rPr>
            </w:pPr>
          </w:p>
        </w:tc>
        <w:tc>
          <w:tcPr>
            <w:tcW w:w="1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1,877.7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Entertainment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6,214.4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2"/>
                <w:szCs w:val="12"/>
                <w:color w:val="auto"/>
              </w:rPr>
              <w:t>(a)</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(3,391.3)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9,518.7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right="60" w:firstLine="8"/>
        <w:spacing w:after="0" w:line="272" w:lineRule="auto"/>
        <w:tabs>
          <w:tab w:leader="none" w:pos="204"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long-term assets, including property, plant and equipment, goodwill and other intangibles, which benefit multiple operating segments, are included in both Entertainment and Corporate and Other. Allocations of certain Corporate and Other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Beginning in 2022, the Company has allocated certain of the intangible amortization costs related to the assets acquired in the eOne acquisition, between the Consumer Products and Entertainment segments. Corporate and Other also includes the elimination of inter-company balance sheet amounts.</w:t>
      </w:r>
    </w:p>
    <w:p>
      <w:pPr>
        <w:spacing w:after="0" w:line="140" w:lineRule="exact"/>
        <w:rPr>
          <w:rFonts w:ascii="Times New Roman" w:cs="Times New Roman" w:eastAsia="Times New Roman" w:hAnsi="Times New Roman"/>
          <w:sz w:val="14"/>
          <w:szCs w:val="14"/>
          <w:i w:val="1"/>
          <w:iCs w:val="1"/>
          <w:color w:val="auto"/>
        </w:rPr>
      </w:pPr>
    </w:p>
    <w:p>
      <w:pPr>
        <w:ind w:right="140" w:firstLine="8"/>
        <w:spacing w:after="0" w:line="285" w:lineRule="auto"/>
        <w:tabs>
          <w:tab w:leader="none" w:pos="204"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the second quarter of 2021, the Company adjusted certain inter-segment balance sheet amounts which impacted the Consumer Products and Corporate and Other total asset values. These adjustments did not impact the Company's total assets.</w:t>
      </w:r>
    </w:p>
    <w:p>
      <w:pPr>
        <w:spacing w:after="0" w:line="144" w:lineRule="exact"/>
        <w:rPr>
          <w:rFonts w:ascii="Times New Roman" w:cs="Times New Roman" w:eastAsia="Times New Roman" w:hAnsi="Times New Roman"/>
          <w:sz w:val="14"/>
          <w:szCs w:val="14"/>
          <w:i w:val="1"/>
          <w:iCs w:val="1"/>
          <w:color w:val="auto"/>
        </w:rPr>
      </w:pPr>
    </w:p>
    <w:p>
      <w:pPr>
        <w:ind w:left="200" w:hanging="192"/>
        <w:spacing w:after="0"/>
        <w:tabs>
          <w:tab w:leader="none" w:pos="20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revenues from transactions with other operating segments that are included in the operating profit (loss) of the segment.</w:t>
      </w:r>
    </w:p>
    <w:p>
      <w:pPr>
        <w:spacing w:after="0" w:line="19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represents consolidated Consumer Products segment net revenues by major geographic region for the quarters ended March 27, 2022 and March 28,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169"/>
        </w:trPr>
        <w:tc>
          <w:tcPr>
            <w:tcW w:w="8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March 27,</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8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represents consolidated Wizards of the Coast and Digital Gaming segment net revenues by category for the quarters ended March 27, 2022 and March 28,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174"/>
        </w:trPr>
        <w:tc>
          <w:tcPr>
            <w:tcW w:w="8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140"/>
              <w:spacing w:after="0" w:line="174" w:lineRule="exact"/>
              <w:rPr>
                <w:sz w:val="20"/>
                <w:szCs w:val="20"/>
                <w:color w:val="auto"/>
              </w:rPr>
            </w:pPr>
            <w:r>
              <w:rPr>
                <w:rFonts w:ascii="Times New Roman" w:cs="Times New Roman" w:eastAsia="Times New Roman" w:hAnsi="Times New Roman"/>
                <w:sz w:val="18"/>
                <w:szCs w:val="18"/>
                <w:b w:val="1"/>
                <w:bCs w:val="1"/>
                <w:color w:val="auto"/>
              </w:rPr>
              <w:t>March 27,</w:t>
            </w:r>
          </w:p>
        </w:tc>
        <w:tc>
          <w:tcPr>
            <w:tcW w:w="240" w:type="dxa"/>
            <w:vAlign w:val="bottom"/>
          </w:tcPr>
          <w:p>
            <w:pPr>
              <w:spacing w:after="0"/>
              <w:rPr>
                <w:sz w:val="15"/>
                <w:szCs w:val="15"/>
                <w:color w:val="auto"/>
              </w:rPr>
            </w:pPr>
          </w:p>
        </w:tc>
        <w:tc>
          <w:tcPr>
            <w:tcW w:w="128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38"/>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Tabletop Gaming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Digital and Licensed Gaming</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consolidated Entertainment segment net revenues by category for the quarters ended March 27, 2022 and March 28,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169"/>
        </w:trPr>
        <w:tc>
          <w:tcPr>
            <w:tcW w:w="8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March 27,</w:t>
            </w:r>
          </w:p>
        </w:tc>
        <w:tc>
          <w:tcPr>
            <w:tcW w:w="24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TV</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Family Brands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Music and 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1"/>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986"/>
        </w:trPr>
        <w:tc>
          <w:tcPr>
            <w:tcW w:w="8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6" w:name="page27"/>
    <w:bookmarkEnd w:id="26"/>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consolidated net revenues by brand and entertainment portfolio for the quarters ended March 27, 2022 and March 28,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169"/>
        </w:trPr>
        <w:tc>
          <w:tcPr>
            <w:tcW w:w="8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March 27,</w:t>
            </w:r>
          </w:p>
        </w:tc>
        <w:tc>
          <w:tcPr>
            <w:tcW w:w="24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80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Franchise Brands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Brands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29"/>
        </w:trPr>
        <w:tc>
          <w:tcPr>
            <w:tcW w:w="8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Hasbro Gaming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30"/>
        </w:trPr>
        <w:tc>
          <w:tcPr>
            <w:tcW w:w="8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Emerging Brands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TV/Film/Entertainment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w:t>
            </w: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right="240" w:firstLine="8"/>
        <w:spacing w:after="0" w:line="341" w:lineRule="auto"/>
        <w:tabs>
          <w:tab w:leader="none" w:pos="132" w:val="left"/>
        </w:tabs>
        <w:numPr>
          <w:ilvl w:val="0"/>
          <w:numId w:val="24"/>
        </w:numPr>
        <w:rPr>
          <w:rFonts w:ascii="Times New Roman" w:cs="Times New Roman" w:eastAsia="Times New Roman" w:hAnsi="Times New Roman"/>
          <w:sz w:val="15"/>
          <w:szCs w:val="15"/>
          <w:i w:val="1"/>
          <w:iCs w:val="1"/>
          <w:color w:val="auto"/>
          <w:vertAlign w:val="superscript"/>
        </w:rPr>
      </w:pPr>
      <w:r>
        <w:rPr>
          <w:rFonts w:ascii="Times New Roman" w:cs="Times New Roman" w:eastAsia="Times New Roman" w:hAnsi="Times New Roman"/>
          <w:sz w:val="11"/>
          <w:szCs w:val="11"/>
          <w:i w:val="1"/>
          <w:iCs w:val="1"/>
          <w:color w:val="auto"/>
        </w:rPr>
        <w:t>Effective in the first quarter of 2022, the Company moved PEPPA PIG into Franchise Brands from Emerging Brands. For comparability, net revenues for the quarter ended March 28, 2021 have been restated to reflect the elevation of PEPPA PIG from Emerging Brands to Franchise Brands, which amounted to a change of $31.6 million.</w:t>
      </w:r>
    </w:p>
    <w:p>
      <w:pPr>
        <w:spacing w:after="0" w:line="101" w:lineRule="exact"/>
        <w:rPr>
          <w:rFonts w:ascii="Times New Roman" w:cs="Times New Roman" w:eastAsia="Times New Roman" w:hAnsi="Times New Roman"/>
          <w:sz w:val="15"/>
          <w:szCs w:val="15"/>
          <w:i w:val="1"/>
          <w:iCs w:val="1"/>
          <w:color w:val="auto"/>
          <w:vertAlign w:val="superscript"/>
        </w:rPr>
      </w:pPr>
    </w:p>
    <w:p>
      <w:pPr>
        <w:ind w:right="160" w:firstLine="8"/>
        <w:spacing w:after="0" w:line="251" w:lineRule="auto"/>
        <w:tabs>
          <w:tab w:leader="none" w:pos="145" w:val="left"/>
        </w:tabs>
        <w:numPr>
          <w:ilvl w:val="0"/>
          <w:numId w:val="24"/>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Hasbro's total gaming category, which includes all gaming net revenues, both those reported in Hasbro Gaming and those reported elsewhere, most notably MAGIC: THE GATHERING and MONOPOLY which are reported within Franchise Brands, totaled $378.8 million and $365.3 million for the quarters ended March 27, 2022 and March 28, 2021, respectively.</w:t>
      </w:r>
    </w:p>
    <w:p>
      <w:pPr>
        <w:spacing w:after="0" w:line="155"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Actions</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2018 and 2020, the Company took certain restructuring actions including headcount reduction aimed at right-sizing the Company’s cost-structure and integration actions related to the acquisition of eOne.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27, 2022, the Company had a remaining balance of $13.3 million in termination payments related to these programs.</w:t>
      </w:r>
    </w:p>
    <w:p>
      <w:pPr>
        <w:spacing w:after="0" w:line="181"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April 13, 2022, the Company announced that it entered into a definitive agreement with Fandom, Inc. to purchase D&amp;D Beyond for $146.3 million to be paid in cash. D&amp;D Beyond is the premier digital content platform for DUNGEONS &amp; DRAGONS. It is a rapidly growing role-playing game digital toolset that will become the hub for DUNGEONS &amp; DRAGONS digital gaming. The strategic acquisition of D&amp;D Beyond is expected to deliver a direct relationship with fans, providing valuable, data-driven insights to unlock opportunities for growth in new product development, live services and tools, and regional expansions.</w:t>
      </w:r>
    </w:p>
    <w:p>
      <w:pPr>
        <w:spacing w:after="0" w:line="1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transaction is subject to customary closing conditions, including obtaining required regulatory approvals, and is expected to close late in the second quarter or early in the third quarter of 2022. The transaction will be funded out of cash on hand and is not expected to have a material impact on Hasbro's 2022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OBJECTIVE</w:t>
      </w:r>
    </w:p>
    <w:p>
      <w:pPr>
        <w:spacing w:after="0" w:line="11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objective within the following discussion is to provide an analysis of the Company’s Financial Condition, Cash Flows and Results of Operations from management's perspective which should be read in conjunction with the Company’s consolidated financial statements and notes thereto, included in Part I, Item 1 of this Form 10-Q.</w:t>
      </w:r>
    </w:p>
    <w:p>
      <w:pPr>
        <w:spacing w:after="0" w:line="68" w:lineRule="exact"/>
        <w:rPr>
          <w:sz w:val="20"/>
          <w:szCs w:val="20"/>
          <w:color w:val="auto"/>
        </w:rPr>
      </w:pPr>
    </w:p>
    <w:p>
      <w:pPr>
        <w:ind w:right="420"/>
        <w:spacing w:after="0" w:line="375" w:lineRule="auto"/>
        <w:rPr>
          <w:sz w:val="20"/>
          <w:szCs w:val="20"/>
          <w:color w:val="auto"/>
        </w:rPr>
      </w:pPr>
      <w:r>
        <w:rPr>
          <w:rFonts w:ascii="Times New Roman" w:cs="Times New Roman" w:eastAsia="Times New Roman" w:hAnsi="Times New Roman"/>
          <w:sz w:val="18"/>
          <w:szCs w:val="18"/>
          <w:color w:val="auto"/>
        </w:rPr>
        <w:t xml:space="preserve">Unless otherwise specifically indicated, all dollar or share amounts herein are expressed in millions of dollars or shares, except for per share amounts. </w:t>
      </w:r>
      <w:r>
        <w:rPr>
          <w:rFonts w:ascii="Times New Roman" w:cs="Times New Roman" w:eastAsia="Times New Roman" w:hAnsi="Times New Roman"/>
          <w:sz w:val="18"/>
          <w:szCs w:val="18"/>
          <w:b w:val="1"/>
          <w:bCs w:val="1"/>
          <w:u w:val="single" w:color="auto"/>
          <w:color w:val="auto"/>
        </w:rPr>
        <w:t>EXECUTIVE SUMMARY</w:t>
      </w:r>
    </w:p>
    <w:p>
      <w:pPr>
        <w:spacing w:after="0" w:line="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Hasbro, Inc. (“Hasbro”) is a global play and entertainment company committed to Creating the World’s Best Play and Entertainment Experiences and making the world a better place for all children, fans and families. Hasbro delivers immersive brand experiences for global audiences through consumer products, including toys and games; gaming, led by the team at Wizards of the Coast, an award-winning developer of tabletop and digital games; and entertainment through Entertainment One (“eOne”), our independent studio.</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iconic brands include MAGIC: THE GATHERING, NERF, PLAY-DOH, TRANSFORMERS, PEPPA PIG, MONOPOLY, MY LITTLE PONY, BABY ALIVE, DUNGEONS &amp; DRAGONS, PJ MASKS and POWER RANGERS, as well as premier partner brands. For the past decade, we have been consistently recognized for our corporate citizenship, including being named one of the 100 Best Corporate Citizens by 3BL Media and one of the World’s Most Ethical Companies by Ethisphere Institute.</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strategic plan is centered around the Hasbro Brand Blueprint, a framework for bringing compelling and expansive brand experiences to consumers and audiences around the world. Our brands are story-led consumer franchises brought to life through a wide array of consumer products, digital gaming and compelling content offered across a multitude of platforms and media. Our commitment to disciplined, strategic investments across the Brand Blueprint over the long-term has built a differentiated business with diversified capabilities to drive profitable growth and enhance shareholder value.</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Hasbro's purpose of making the world a better place for all children, fans and families sits at the center of the Hasbro Brand Blueprint and is a key driver of our brands and content. The value of Hasbro is fully activated when we can take a brand across all elements of the Brand Blueprint – consumer products; Wizards of the Coast and digital gaming; and entertainment. The ability to build a brand in any of our segments and leverage in-house capabilities to create multiple categories of engagement with consumers and fans is unique to Hasbro and optimizes our economics today and in the future.</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each of the periods presented in this Form 10-Q there were certain charges incurred which impacted operating results. These charges are detailed below in the Results of Operations - Consolidated.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Coronavirus Pandemic</w:t>
      </w:r>
    </w:p>
    <w:p>
      <w:pPr>
        <w:spacing w:after="0" w:line="17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Since the onset of the novel coronavirus (COVID-19) pandemic in early 2020, our business, has been adversely impacted by the challenges and risks associated with both the initial, and the residual effects of the spread of the virus worldwide. Certain effects of the COVID-19 pandemic, including difficulties in shipping and distributing products due to ongoing constraints in port capacity, shipping containers and truck transportation, have continued into the first quarter of 2022 and are expected to continue through the remainder of the year. These and other disruptions have led to higher costs for both ocean and air freight and delays in the availability of products, which can result in delayed sales and, in some cases, lost sales. In response to these and other challenges, we have developed and continue to evaluate and execute plans to mitigate the negative impacts of COVID-19 to our business. For example, to mitigate product input cost increases, we implemented certain price increases during 2021. The Company continues to review the impact of increasing costs and plans to implement further price increases in 2022. Additionally, during the first quarter of 2022, the Company accelerated certain inventory purchases to ensure sufficient finished goods and raw material availability, ahead of expected periods of high consumer demand. We believe these mitigating actions will minimize the adverse impacts to our financial results for fiscal year 2022.</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COVID-19 outbreak continues to be fluid and it is difficult to forecast the impact it could have on our future operations. However, since the initial outbreak, we have maintained sufficient liquidity and access to capital resources and we continue to closely monitor customer health and collectability of receivables. Please see Part I, Item 1A. Risk Factors and Part I, Item 1. Business, in the Company's Form 10-K for the fiscal year ended December 26, 2021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First quarter 2022 highlights:</w:t>
      </w:r>
    </w:p>
    <w:p>
      <w:pPr>
        <w:spacing w:after="0" w:line="119" w:lineRule="exact"/>
        <w:rPr>
          <w:sz w:val="20"/>
          <w:szCs w:val="20"/>
          <w:color w:val="auto"/>
        </w:rPr>
      </w:pPr>
    </w:p>
    <w:p>
      <w:pPr>
        <w:ind w:left="500" w:right="560" w:hanging="492"/>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net revenues were $1.2 billion compared to $1.1 billion in the first quarter of 2021 and included an unfavorable foreign currency translation of $17.4 million. Absent the unfavorable impact of foreign currency exchange, first quarter net revenues increased 6%.</w:t>
      </w:r>
    </w:p>
    <w:p>
      <w:pPr>
        <w:spacing w:after="0" w:line="53"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grew in all major operating segments: Wizards of the Coast and Digital Gaming segment net revenues increased 9% to</w:t>
      </w:r>
    </w:p>
    <w:p>
      <w:pPr>
        <w:spacing w:after="0" w:line="27" w:lineRule="exact"/>
        <w:rPr>
          <w:rFonts w:ascii="Times New Roman" w:cs="Times New Roman" w:eastAsia="Times New Roman" w:hAnsi="Times New Roman"/>
          <w:sz w:val="18"/>
          <w:szCs w:val="18"/>
          <w:color w:val="auto"/>
        </w:rPr>
      </w:pPr>
    </w:p>
    <w:p>
      <w:pPr>
        <w:ind w:left="130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$262.8 million; Entertainment segment net revenues increased 4% to $227.5 million; Consumer Products segment net revenues increased 3% to $672.8 million.</w:t>
      </w:r>
    </w:p>
    <w:p>
      <w:pPr>
        <w:spacing w:after="0" w:line="73" w:lineRule="exact"/>
        <w:rPr>
          <w:rFonts w:ascii="Times New Roman" w:cs="Times New Roman" w:eastAsia="Times New Roman" w:hAnsi="Times New Roman"/>
          <w:sz w:val="18"/>
          <w:szCs w:val="18"/>
          <w:color w:val="auto"/>
        </w:rPr>
      </w:pPr>
    </w:p>
    <w:p>
      <w:pPr>
        <w:ind w:left="1300" w:right="160" w:hanging="482"/>
        <w:spacing w:after="0" w:line="266" w:lineRule="auto"/>
        <w:tabs>
          <w:tab w:leader="none" w:pos="12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Brands portfolio net revenues increased 10%; Hasbro Gaming and Emerging Brands net revenues each increased 5%; Franchise Brands net revenues increased 4% while TV/Film/Entertainment portfolio net revenues were flat in the first quarter of 2022, reflecting the sale of eOne Music which represented $31.8 million of TV/Film/Entertainment portfolio net revenues in the first quarter of 2021.</w:t>
      </w:r>
    </w:p>
    <w:p>
      <w:pPr>
        <w:spacing w:after="0" w:line="67" w:lineRule="exact"/>
        <w:rPr>
          <w:rFonts w:ascii="Times New Roman" w:cs="Times New Roman" w:eastAsia="Times New Roman" w:hAnsi="Times New Roman"/>
          <w:sz w:val="18"/>
          <w:szCs w:val="18"/>
          <w:color w:val="auto"/>
        </w:rPr>
      </w:pPr>
    </w:p>
    <w:p>
      <w:pPr>
        <w:ind w:left="500" w:right="200" w:hanging="492"/>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was $120.0 million, or 10.3% of net revenue, in the first quarter of 2022 compared to operating profit of $147.3 million, or 13.2% of net revenue, in the first quarter of 2021.</w:t>
      </w:r>
    </w:p>
    <w:p>
      <w:pPr>
        <w:spacing w:after="0" w:line="53" w:lineRule="exact"/>
        <w:rPr>
          <w:rFonts w:ascii="Times New Roman" w:cs="Times New Roman" w:eastAsia="Times New Roman" w:hAnsi="Times New Roman"/>
          <w:sz w:val="18"/>
          <w:szCs w:val="18"/>
          <w:color w:val="auto"/>
        </w:rPr>
      </w:pPr>
    </w:p>
    <w:p>
      <w:pPr>
        <w:ind w:left="1300" w:right="220" w:hanging="482"/>
        <w:spacing w:after="0" w:line="266" w:lineRule="auto"/>
        <w:tabs>
          <w:tab w:leader="none" w:pos="12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 the Wizards of the Coast and Digital Gaming segment decreased 3% to $106.4 million; Entertainment segment operating profit decreased 28% to $12.2 million; Consumer Products segment decreased 73% to $8.6 million; and Corporate and Other operating losses improved 40% to $7.2 million.</w:t>
      </w:r>
    </w:p>
    <w:p>
      <w:pPr>
        <w:spacing w:after="0" w:line="67" w:lineRule="exact"/>
        <w:rPr>
          <w:rFonts w:ascii="Times New Roman" w:cs="Times New Roman" w:eastAsia="Times New Roman" w:hAnsi="Times New Roman"/>
          <w:sz w:val="18"/>
          <w:szCs w:val="18"/>
          <w:color w:val="auto"/>
        </w:rPr>
      </w:pPr>
    </w:p>
    <w:p>
      <w:pPr>
        <w:ind w:left="1300" w:right="80" w:hanging="482"/>
        <w:spacing w:after="0" w:line="282" w:lineRule="auto"/>
        <w:tabs>
          <w:tab w:leader="none" w:pos="12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charges impacted operating segment performance for the Company’s Consumer Products and Entertainment segments, which are discussed further below in Segment Results.</w:t>
      </w:r>
    </w:p>
    <w:p>
      <w:pPr>
        <w:spacing w:after="0" w:line="53" w:lineRule="exact"/>
        <w:rPr>
          <w:rFonts w:ascii="Times New Roman" w:cs="Times New Roman" w:eastAsia="Times New Roman" w:hAnsi="Times New Roman"/>
          <w:sz w:val="18"/>
          <w:szCs w:val="18"/>
          <w:color w:val="auto"/>
        </w:rPr>
      </w:pPr>
    </w:p>
    <w:p>
      <w:pPr>
        <w:ind w:left="500" w:right="140" w:hanging="492"/>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attributable to Hasbro, Inc. of $61.2 million, or $0.44 per diluted share, in the first quarter of 2022 compared to net earnings of $116.2 million, or $0.84 per diluted share, in the first quarter of 2021.</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FINANCIAL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results of operations is illustrated below for the quarters ended March 27, 2022 and March 28,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8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14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March 28, 2021</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Hasbro, Inc.</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CONSOLIDATED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quarters ended March 27, 2022 and March 28, 2021 were each 13-week periods.</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Diluted earnings per share attributable to Hasbro, Inc. for the quarters ended March 27, 2022 and March 28, 2021 include certain charges as described below.</w:t>
      </w:r>
    </w:p>
    <w:p>
      <w:pPr>
        <w:spacing w:after="0" w:line="135" w:lineRule="exact"/>
        <w:rPr>
          <w:sz w:val="20"/>
          <w:szCs w:val="20"/>
          <w:color w:val="auto"/>
        </w:rPr>
      </w:pPr>
    </w:p>
    <w:p>
      <w:pPr>
        <w:ind w:left="660" w:right="20" w:hanging="328"/>
        <w:spacing w:after="0" w:line="261" w:lineRule="auto"/>
        <w:tabs>
          <w:tab w:leader="none" w:pos="655"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charges of $15.9 million, or $0.11 per diluted share and $20.4 million, or $0.15 per diluted share, of intangible amortization costs for the quarters ended March 27, 2022 and March 28, 2021, respectively, related to the intangible assets acquired in the eOne acquisition. Beginning in 2022, certain of these intangible amortization costs have been allocated between the Consumer Products and Entertainment segments, to match the revenue generated from such intangible assets. In 2021, these intangible amortization costs were recorded within the Entertainment segment.</w:t>
      </w:r>
    </w:p>
    <w:p>
      <w:pPr>
        <w:spacing w:after="0" w:line="71" w:lineRule="exact"/>
        <w:rPr>
          <w:rFonts w:ascii="Times New Roman" w:cs="Times New Roman" w:eastAsia="Times New Roman" w:hAnsi="Times New Roman"/>
          <w:sz w:val="18"/>
          <w:szCs w:val="18"/>
          <w:b w:val="1"/>
          <w:bCs w:val="1"/>
          <w:i w:val="1"/>
          <w:iCs w:val="1"/>
          <w:color w:val="auto"/>
        </w:rPr>
      </w:pPr>
    </w:p>
    <w:p>
      <w:pPr>
        <w:ind w:left="660" w:right="40" w:hanging="328"/>
        <w:spacing w:after="0" w:line="282" w:lineRule="auto"/>
        <w:tabs>
          <w:tab w:leader="none" w:pos="655"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charges of $2.3 million, $0.02 per diluted share and $1.7 million, or $0.01 per diluted share, for the quarters ended March 27, 2022 and March 28, 2021, respectively, of expense associated with retention awards granted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with the eOne acquisition. These expenses are included within Selling, Distribution and Administration within the Corporate segment.</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Consolidated net revenues for the first quarter of 2022 grew 4% to $1,163.1 million from $1,114.8 million for the first quarter of 2021 and included an unfavorable $17.4 million impact from foreign currency translation as a result of weakening currencies, primarily in Europe.</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profit for the first quarter of 2022 was $120.0 million, or 10.3% of net revenues, compared to operating profit of $147.3 million, or 13.2% of net revenues, for the first quarter of 2021. The operating profit decrease was primarily driven by higher costs of sales due to higher product input and freight costs as a result of rising costs and supply chain disruptions, higher program amortization costs within the Entertainment segment, reflecting the mix of programming deliveries in the quarter, higher product development costs to support growth in Wizards of the Coast and to a lesser extent, higher marketing and sales costs. These cost increases were partially offset by lower royalty expense and lower advertising costs during the first quarter of 2022.</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earnings attributable to Hasbro, Inc. decreased to $61.2 million for the quarter ended March 27, 2022, compared to $116.2 million for the quarter ended March 28, 2021.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earnings per share attributable to Hasbro, Inc. were $0.44 for the first quarter of 2022 compared to $0.84 for the first quarter of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revenues by brand and entertainment portfolio for the quarters ended March 27, 2022 and March 28,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28, 2021</w:t>
            </w:r>
          </w:p>
        </w:tc>
        <w:tc>
          <w:tcPr>
            <w:tcW w:w="1660" w:type="dxa"/>
            <w:vAlign w:val="bottom"/>
          </w:tcPr>
          <w:p>
            <w:pPr>
              <w:jc w:val="right"/>
              <w:ind w:right="65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6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Brands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Brands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Hasbro Gaming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Brands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TV/Film/Entertainment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Brand portfolio net revenues for the first quarter of 2021 have been restated to reflect the elevation of PEPPA PIG from Emerging Brands to Franchise Brands, effective for the first quarter of 2022. As a result, first quarter 2021 net revenues of $31.6 million were reclassified from Emerging Brands to Franchise Brands.</w:t>
      </w:r>
    </w:p>
    <w:p>
      <w:pPr>
        <w:spacing w:after="0" w:line="6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FRANCHISE BRANDS: </w:t>
      </w:r>
      <w:r>
        <w:rPr>
          <w:rFonts w:ascii="Times New Roman" w:cs="Times New Roman" w:eastAsia="Times New Roman" w:hAnsi="Times New Roman"/>
          <w:sz w:val="18"/>
          <w:szCs w:val="18"/>
          <w:color w:val="auto"/>
        </w:rPr>
        <w:t>Net revenues in the Franchise Brands portfolio increased 4% in the first quarter of 2022 compared to the first quarter of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Drivers of the net revenue increase include higher net revenues from MAGIC: THE GATHERING products reflecting record sales from the </w:t>
      </w:r>
      <w:r>
        <w:rPr>
          <w:rFonts w:ascii="Times New Roman" w:cs="Times New Roman" w:eastAsia="Times New Roman" w:hAnsi="Times New Roman"/>
          <w:sz w:val="18"/>
          <w:szCs w:val="18"/>
          <w:i w:val="1"/>
          <w:iCs w:val="1"/>
          <w:color w:val="auto"/>
        </w:rPr>
        <w:t>Kamigawa: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Neon Dynasty </w:t>
      </w:r>
      <w:r>
        <w:rPr>
          <w:rFonts w:ascii="Times New Roman" w:cs="Times New Roman" w:eastAsia="Times New Roman" w:hAnsi="Times New Roman"/>
          <w:sz w:val="18"/>
          <w:szCs w:val="18"/>
          <w:color w:val="auto"/>
        </w:rPr>
        <w:t>set release and higher net revenues from MY LITTLE PONY, following the September 2021 release of the feature length film,</w:t>
      </w:r>
      <w:r>
        <w:rPr>
          <w:rFonts w:ascii="Times New Roman" w:cs="Times New Roman" w:eastAsia="Times New Roman" w:hAnsi="Times New Roman"/>
          <w:sz w:val="18"/>
          <w:szCs w:val="18"/>
          <w:i w:val="1"/>
          <w:iCs w:val="1"/>
          <w:color w:val="auto"/>
        </w:rPr>
        <w:t xml:space="preserve"> MY LITTLE PONY: A NEW GENERA</w:t>
      </w:r>
      <w:r>
        <w:rPr>
          <w:rFonts w:ascii="Times New Roman" w:cs="Times New Roman" w:eastAsia="Times New Roman" w:hAnsi="Times New Roman"/>
          <w:sz w:val="18"/>
          <w:szCs w:val="18"/>
          <w:color w:val="auto"/>
        </w:rPr>
        <w:t>TION and the associated product line. In addition, higher net revenues from PEPPA PIG were driven by the third quarter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launch of the Company's first line of PEPPA PIG products. These net revenue increases were partially offset by lower net revenues from MONOPOLY products and to a lesser extent, lower net revenues from BABY ALIVE and NERF products during the first quarter of 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PARTNER BRANDS: </w:t>
      </w:r>
      <w:r>
        <w:rPr>
          <w:rFonts w:ascii="Times New Roman" w:cs="Times New Roman" w:eastAsia="Times New Roman" w:hAnsi="Times New Roman"/>
          <w:sz w:val="18"/>
          <w:szCs w:val="18"/>
          <w:color w:val="auto"/>
        </w:rPr>
        <w:t>Net revenues from the Partner Brands portfolio increased 10% in the first quarter of 2022 compared to the first quarter of</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2021. Within the Partner Brands portfolio, there are a number of brands which are reliant on related entertainment, including television and movie releases. As such, net revenues from partner brands fluctuate depending on entertainment popularity, release dates and related product line offerings and success. Historically these entertainment-based brands experience higher revenues during years in which new content is released in theaters, for broadcast, and on streaming platforms.</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During the first quarter of 2022, Partner Brands net revenue increases were driven by the Company's products for MARVEL, primarily from momentum in the SPIDER-MAN franchise which benefited from entertainment releases including Marvel Studios' </w:t>
      </w:r>
      <w:r>
        <w:rPr>
          <w:rFonts w:ascii="Times New Roman" w:cs="Times New Roman" w:eastAsia="Times New Roman" w:hAnsi="Times New Roman"/>
          <w:sz w:val="18"/>
          <w:szCs w:val="18"/>
          <w:i w:val="1"/>
          <w:iCs w:val="1"/>
          <w:color w:val="auto"/>
        </w:rPr>
        <w:t>SPIDER-MAN: NO WAY HOME,</w:t>
      </w:r>
      <w:r>
        <w:rPr>
          <w:rFonts w:ascii="Times New Roman" w:cs="Times New Roman" w:eastAsia="Times New Roman" w:hAnsi="Times New Roman"/>
          <w:sz w:val="18"/>
          <w:szCs w:val="18"/>
          <w:color w:val="auto"/>
        </w:rPr>
        <w:t xml:space="preserve"> released in December 2021 and the children’s animated television series Marvel's </w:t>
      </w:r>
      <w:r>
        <w:rPr>
          <w:rFonts w:ascii="Times New Roman" w:cs="Times New Roman" w:eastAsia="Times New Roman" w:hAnsi="Times New Roman"/>
          <w:sz w:val="18"/>
          <w:szCs w:val="18"/>
          <w:i w:val="1"/>
          <w:iCs w:val="1"/>
          <w:color w:val="auto"/>
        </w:rPr>
        <w:t>SPIDEY and HIS AMAZING FRIENDS.</w:t>
      </w:r>
      <w:r>
        <w:rPr>
          <w:rFonts w:ascii="Times New Roman" w:cs="Times New Roman" w:eastAsia="Times New Roman" w:hAnsi="Times New Roman"/>
          <w:sz w:val="18"/>
          <w:szCs w:val="18"/>
          <w:color w:val="auto"/>
        </w:rPr>
        <w:t xml:space="preserve"> In addition, the Company's products for Marvel's AVENGERS benefited ahead of the planned Marvel Studios' release of </w:t>
      </w:r>
      <w:r>
        <w:rPr>
          <w:rFonts w:ascii="Times New Roman" w:cs="Times New Roman" w:eastAsia="Times New Roman" w:hAnsi="Times New Roman"/>
          <w:sz w:val="18"/>
          <w:szCs w:val="18"/>
          <w:i w:val="1"/>
          <w:iCs w:val="1"/>
          <w:color w:val="auto"/>
        </w:rPr>
        <w:t>DOCTOR STRANGE in the MULTIVERSE of MADNESS</w:t>
      </w:r>
      <w:r>
        <w:rPr>
          <w:rFonts w:ascii="Times New Roman" w:cs="Times New Roman" w:eastAsia="Times New Roman" w:hAnsi="Times New Roman"/>
          <w:sz w:val="18"/>
          <w:szCs w:val="18"/>
          <w:color w:val="auto"/>
        </w:rPr>
        <w:t>, expected in May 2022. To a lesser extent, net revenues from the Company's line of STAR WARS products increased as a result of the lineup of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0" w:name="page31"/>
    <w:bookmarkEnd w:id="30"/>
    <w:p>
      <w:pPr>
        <w:spacing w:after="0" w:line="267" w:lineRule="auto"/>
        <w:rPr>
          <w:sz w:val="20"/>
          <w:szCs w:val="20"/>
          <w:color w:val="auto"/>
        </w:rPr>
      </w:pPr>
      <w:r>
        <w:rPr>
          <w:rFonts w:ascii="Times New Roman" w:cs="Times New Roman" w:eastAsia="Times New Roman" w:hAnsi="Times New Roman"/>
          <w:sz w:val="18"/>
          <w:szCs w:val="18"/>
          <w:color w:val="auto"/>
        </w:rPr>
        <w:t xml:space="preserve">from Lucasfilms including, </w:t>
      </w:r>
      <w:r>
        <w:rPr>
          <w:rFonts w:ascii="Times New Roman" w:cs="Times New Roman" w:eastAsia="Times New Roman" w:hAnsi="Times New Roman"/>
          <w:sz w:val="18"/>
          <w:szCs w:val="18"/>
          <w:i w:val="1"/>
          <w:iCs w:val="1"/>
          <w:color w:val="auto"/>
        </w:rPr>
        <w:t>THE BOOK of BOBA FETT</w:t>
      </w:r>
      <w:r>
        <w:rPr>
          <w:rFonts w:ascii="Times New Roman" w:cs="Times New Roman" w:eastAsia="Times New Roman" w:hAnsi="Times New Roman"/>
          <w:sz w:val="18"/>
          <w:szCs w:val="18"/>
          <w:color w:val="auto"/>
        </w:rPr>
        <w:t xml:space="preserve"> released in the first fiscal quarter of 2022 and the upcoming launch of the </w:t>
      </w:r>
      <w:r>
        <w:rPr>
          <w:rFonts w:ascii="Times New Roman" w:cs="Times New Roman" w:eastAsia="Times New Roman" w:hAnsi="Times New Roman"/>
          <w:sz w:val="18"/>
          <w:szCs w:val="18"/>
          <w:i w:val="1"/>
          <w:iCs w:val="1"/>
          <w:color w:val="auto"/>
        </w:rPr>
        <w:t>OBI-WAN KENOBI</w:t>
      </w:r>
      <w:r>
        <w:rPr>
          <w:rFonts w:ascii="Times New Roman" w:cs="Times New Roman" w:eastAsia="Times New Roman" w:hAnsi="Times New Roman"/>
          <w:sz w:val="18"/>
          <w:szCs w:val="18"/>
          <w:color w:val="auto"/>
        </w:rPr>
        <w:t xml:space="preserve"> series, expected in the second quarter of 2022, both on Disney+. These increases were partially offset by net revenue declines from DISNEY FROZEN and to a lesser extent, DISNEY PRINCESS products as well as lower net revenues from BEYBLADE products during the first quarter of 2022.</w:t>
      </w:r>
    </w:p>
    <w:p>
      <w:pPr>
        <w:spacing w:after="0" w:line="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HASBRO GAMING: </w:t>
      </w:r>
      <w:r>
        <w:rPr>
          <w:rFonts w:ascii="Times New Roman" w:cs="Times New Roman" w:eastAsia="Times New Roman" w:hAnsi="Times New Roman"/>
          <w:sz w:val="18"/>
          <w:szCs w:val="18"/>
          <w:color w:val="auto"/>
        </w:rPr>
        <w:t>Net revenues in the Hasbro Gaming portfolio increased 5% in the first quarter of 2022 compared to the first quarter of 2021.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were driven by net revenue increases from DUNGEONS &amp; DRAGONS products and to a lesser extent, net revenue increases from DUEL MASTERS and AVALON HILL'S HeroQuest products. These net revenue increases were partially offset by lower net revenues from certain classic game products including CLUE and RISK.</w:t>
      </w:r>
    </w:p>
    <w:p>
      <w:pPr>
        <w:spacing w:after="0" w:line="7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revenues for Hasbro’s total gaming category, including the Hasbro Gaming portfolio as reported above and all other gaming revenue, most notably revenues from MAGIC: THE GATHERING and MONOPOLY products, which are included in the Franchise Brands portfolio, totaled $378.8 million for the first quarter of 2022, an increase of 4%, as compared to $365.3 million in the first quarter of 2021.</w:t>
      </w:r>
    </w:p>
    <w:p>
      <w:pPr>
        <w:spacing w:after="0" w:line="66"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EMERGING BRANDS: </w:t>
      </w:r>
      <w:r>
        <w:rPr>
          <w:rFonts w:ascii="Times New Roman" w:cs="Times New Roman" w:eastAsia="Times New Roman" w:hAnsi="Times New Roman"/>
          <w:sz w:val="18"/>
          <w:szCs w:val="18"/>
          <w:color w:val="auto"/>
        </w:rPr>
        <w:t>Net revenues from the Emerging Brands portfolio increased 5% during the first quarter of 2022 compared to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Net revenue increases during the first quarter of 2022 were driven by POWER RANGERS and PJ MASKS products, partially offset by lower net revenues from SUPER SOAKER and certain PLAYSKOOL products.</w:t>
      </w:r>
    </w:p>
    <w:p>
      <w:pPr>
        <w:spacing w:after="0" w:line="65"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TV/FILM/ENTERTAINMENT: </w:t>
      </w:r>
      <w:r>
        <w:rPr>
          <w:rFonts w:ascii="Times New Roman" w:cs="Times New Roman" w:eastAsia="Times New Roman" w:hAnsi="Times New Roman"/>
          <w:sz w:val="18"/>
          <w:szCs w:val="18"/>
          <w:color w:val="auto"/>
        </w:rPr>
        <w:t>During the first quarter of 2022, net revenues from the TV/Film/Entertainment portfolio were flat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quarter of 2021. First quarter 2022 net revenues were driven by higher scripted television deliveries, most notably from the Netflix streaming series </w:t>
      </w:r>
      <w:r>
        <w:rPr>
          <w:rFonts w:ascii="Times New Roman" w:cs="Times New Roman" w:eastAsia="Times New Roman" w:hAnsi="Times New Roman"/>
          <w:sz w:val="18"/>
          <w:szCs w:val="18"/>
          <w:i w:val="1"/>
          <w:iCs w:val="1"/>
          <w:color w:val="auto"/>
        </w:rPr>
        <w:t xml:space="preserve">GRAYMAIL </w:t>
      </w:r>
      <w:r>
        <w:rPr>
          <w:rFonts w:ascii="Times New Roman" w:cs="Times New Roman" w:eastAsia="Times New Roman" w:hAnsi="Times New Roman"/>
          <w:sz w:val="18"/>
          <w:szCs w:val="18"/>
          <w:color w:val="auto"/>
        </w:rPr>
        <w:t>and from</w:t>
      </w:r>
      <w:r>
        <w:rPr>
          <w:rFonts w:ascii="Times New Roman" w:cs="Times New Roman" w:eastAsia="Times New Roman" w:hAnsi="Times New Roman"/>
          <w:sz w:val="18"/>
          <w:szCs w:val="18"/>
          <w:i w:val="1"/>
          <w:iCs w:val="1"/>
          <w:color w:val="auto"/>
        </w:rPr>
        <w:t xml:space="preserve"> THE ROOKIE </w:t>
      </w:r>
      <w:r>
        <w:rPr>
          <w:rFonts w:ascii="Times New Roman" w:cs="Times New Roman" w:eastAsia="Times New Roman" w:hAnsi="Times New Roman"/>
          <w:sz w:val="18"/>
          <w:szCs w:val="18"/>
          <w:color w:val="auto"/>
        </w:rPr>
        <w:t>television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higher deliveries of unscripted programs compared to the first quarter of 2021,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deliveries were limited or delayed due to the impact of the COVID-19 pandemic. To a lesser extent, TV/Film/Entertainment portfolio net revenues benefited from feature film production revenue contributions from titles including </w:t>
      </w:r>
      <w:r>
        <w:rPr>
          <w:rFonts w:ascii="Times New Roman" w:cs="Times New Roman" w:eastAsia="Times New Roman" w:hAnsi="Times New Roman"/>
          <w:sz w:val="18"/>
          <w:szCs w:val="18"/>
          <w:i w:val="1"/>
          <w:iCs w:val="1"/>
          <w:color w:val="auto"/>
        </w:rPr>
        <w:t>DEEP WATER</w:t>
      </w:r>
      <w:r>
        <w:rPr>
          <w:rFonts w:ascii="Times New Roman" w:cs="Times New Roman" w:eastAsia="Times New Roman" w:hAnsi="Times New Roman"/>
          <w:sz w:val="18"/>
          <w:szCs w:val="18"/>
          <w:color w:val="auto"/>
        </w:rPr>
        <w:t xml:space="preserve"> as well as from the Company's live entertainment business which resumed live touring shows in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external revenues and operating profit data for the Company's principal segments for the quarters ended March 27, 2022 and March 28,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28, 2021</w:t>
            </w:r>
          </w:p>
        </w:tc>
        <w:tc>
          <w:tcPr>
            <w:tcW w:w="1660" w:type="dxa"/>
            <w:vAlign w:val="bottom"/>
          </w:tcPr>
          <w:p>
            <w:pPr>
              <w:jc w:val="right"/>
              <w:ind w:right="65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6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Net Revenues</w:t>
            </w:r>
          </w:p>
        </w:tc>
        <w:tc>
          <w:tcPr>
            <w:tcW w:w="52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Entertainment </w:t>
            </w: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Operating Profit</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Entertainment </w:t>
            </w: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160" w:firstLine="8"/>
        <w:spacing w:after="0" w:line="305" w:lineRule="auto"/>
        <w:tabs>
          <w:tab w:leader="none" w:pos="108"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Entertainment segment net revenues and operating profit, for the quarter ended March 27, 2021 include $31.8 million and $3.1 million, respectively, from eOne Music, which was sold at the beginning of the third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7" w:right="399" w:bottom="1440" w:gutter="0" w:footer="0" w:header="0"/>
        </w:sectPr>
      </w:pPr>
    </w:p>
    <w:bookmarkStart w:id="31" w:name="page32"/>
    <w:bookmarkEnd w:id="31"/>
    <w:p>
      <w:pPr>
        <w:ind w:right="140"/>
        <w:spacing w:after="0" w:line="266" w:lineRule="auto"/>
        <w:rPr>
          <w:sz w:val="20"/>
          <w:szCs w:val="20"/>
          <w:color w:val="auto"/>
        </w:rPr>
      </w:pPr>
      <w:r>
        <w:rPr>
          <w:rFonts w:ascii="Times New Roman" w:cs="Times New Roman" w:eastAsia="Times New Roman" w:hAnsi="Times New Roman"/>
          <w:sz w:val="18"/>
          <w:szCs w:val="18"/>
          <w:color w:val="auto"/>
        </w:rPr>
        <w:t>Beginning in 2022, intangible amortization costs related to the intangible assets acquired in the eOne acquisition have been allocated between the Consumer Products and Entertainment segments in the amounts of $10.3 million and $8.8 million, respectively, to match the revenue generated from such intangible assets. In 2021, comparable intangible amortization costs of $24.9 million were recorded within the Entertainment segment.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Products Segment</w:t>
      </w:r>
    </w:p>
    <w:p>
      <w:pPr>
        <w:spacing w:after="0" w:line="11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Consumer Products segment net revenues by major geographic region for the quarters ended March 27, 2022 and March 28,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8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14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28, 2021</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Consumer Products segment net revenues increased 3% to $672.8 million for the first quarter of 2022 compared to $653.9 million for the first quarter of 2021 and included the impact of an unfavorable $13.5 million currency translation, most notably from the Company's European markets. Drivers of the net revenue increase include higher sales of the Company's products for MARVEL, higher sales of PEPPA PIG and MY LITTLE PONY products, and higher net revenues from POWER RANGERS and PJ MASKS products. Partially offsetting these increases were lower sales of TRANSFORMERS and MONOPOLY products and lower sales of the Company's products for DISNEY PRINCESS and DISNEY FROZEN. Net revenues increased in North America and to a lesser extent, in Latin American markets during the first quarter of 2022, while net revenues declined in the Company's Asia Pacific and Europe regions. In Europe, where the impact of foreign currency exchange was more significant compared to other regions, net revenue remained relatively flat absent the unfavorable foreign currency exchange impact of $12.0 million.</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Consumer Products segment operating profit for the first quarter of 2022 was $8.6 million or 1.3% of segment net revenues, compared to segment operating profit of $32.3 million or 4.9% of segment net revenues, for the first quarter of 2021. As noted above, in alignment with the revenue generated from the assets acquired in the eOne acquisition, the first quarter of 2022 includes $10.3 million of intangible amortization, which in 2021 was all reported in the Entertainment segment results. This allocation of intangible amortization drove a 1.5% decline in operating margin for the Consumer Products segment. The remaining operating profit decrease in the first quarter of 2022 was driven by higher product costs and distribution costs as a result of global supply chain disruptions, including higher freight costs. These negative impacts were partially offset by price increases implemented during 2021 and lower royalty expenses due to a favorable product mix during the first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Wizards of the Coast and Digital Gaming Segment</w:t>
      </w:r>
    </w:p>
    <w:p>
      <w:pPr>
        <w:spacing w:after="0" w:line="1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presents Wizards of the Coast and Digital Gaming segment net revenues by category for the quarters ended March 27, 2022 and March 28,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8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14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28, 2021</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Tabletop Gaming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Digital and Licensed Gaming</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Wizards of the Coast and Digital Gaming segment net revenues increased 9% in the first quarter of 2022 to $262.8 million from $242.2 million in the first quarter of 2021 and included the impact of an unfavorable $2.9 million foreign currency translation.</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net revenue increase in the Wizards of the Coast and Digital Gaming segment during the first quarter of 2022 was attributable to net revenue increases from Wizards of the Coast tabletop and digital gaming products, most notably, MAGIC: THE GATHERING, driven by sales of the </w:t>
      </w:r>
      <w:r>
        <w:rPr>
          <w:rFonts w:ascii="Times New Roman" w:cs="Times New Roman" w:eastAsia="Times New Roman" w:hAnsi="Times New Roman"/>
          <w:sz w:val="18"/>
          <w:szCs w:val="18"/>
          <w:i w:val="1"/>
          <w:iCs w:val="1"/>
          <w:color w:val="auto"/>
        </w:rPr>
        <w:t>Kamigawa: Neon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Dynasty </w:t>
      </w:r>
      <w:r>
        <w:rPr>
          <w:rFonts w:ascii="Times New Roman" w:cs="Times New Roman" w:eastAsia="Times New Roman" w:hAnsi="Times New Roman"/>
          <w:sz w:val="18"/>
          <w:szCs w:val="18"/>
          <w:color w:val="auto"/>
        </w:rPr>
        <w:t>set release, and to a lesser extent, higher digital net revenues from</w:t>
      </w:r>
      <w:r>
        <w:rPr>
          <w:rFonts w:ascii="Times New Roman" w:cs="Times New Roman" w:eastAsia="Times New Roman" w:hAnsi="Times New Roman"/>
          <w:sz w:val="18"/>
          <w:szCs w:val="18"/>
          <w:i w:val="1"/>
          <w:iCs w:val="1"/>
          <w:color w:val="auto"/>
        </w:rPr>
        <w:t xml:space="preserve"> Magic: The Gathering Arena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Dungeons &amp; Dragons: Dark Alliance</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higher net revenues from DUNGEONS &amp; DRAGONS and DUEL MASTERS products contributed to the increase during the first quarter.</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Wizards of the Coast and Digital Gaming segment operating profit was $106.4 million, or 40.5% of segment net revenues for the first quarter of 2022, compared to operating profit of $110.0 million, or 45.4% of segment net revenues, for the first quarter of 2021. The operating profit decrease during the first quarter of 2022 was the result of higher product input costs associated with tabletop gaming, increased product development expenses, higher freight costs, as well as higher administrative expenses including higher personnel costs during the first quarter of 2022. These increases were partially offset by lower advertising and promotional expenses compared to the first quarter of 2021, where the Company incurred higher costs associated with the launch of the mobile version of </w:t>
      </w:r>
      <w:r>
        <w:rPr>
          <w:rFonts w:ascii="Times New Roman" w:cs="Times New Roman" w:eastAsia="Times New Roman" w:hAnsi="Times New Roman"/>
          <w:sz w:val="18"/>
          <w:szCs w:val="18"/>
          <w:i w:val="1"/>
          <w:iCs w:val="1"/>
          <w:color w:val="auto"/>
        </w:rPr>
        <w:t>Magic: The Gathering Arena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Dungeons &amp; Dragons: Dark Alliance.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Entertainment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Entertainment segment net revenues by category for the quarters ended March 27, 2022 and March 28,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8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14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28, 2021</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TV</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Family Brands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Music and Other </w:t>
            </w: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*Music and Other category net revenues for the quarter ended March 27, 2021 includes $31.8 million related to eOne Music, which was sold at the beginning of the third quarter of 2021.</w:t>
      </w:r>
    </w:p>
    <w:p>
      <w:pPr>
        <w:spacing w:after="0" w:line="11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Entertainment segment net revenues increased 4% to $227.5 million for the first quarter of 2022, compared to $218.7 million for the first quarter of 2021. Foreign currency translation did not have a significant impact on Entertainment segment net revenues. The net revenue increase during the first quarter of 2022 was driven by higher deliveries of both unscripted and scripted television programming and to a lesser extent, higher net revenues from the Company's live entertainment business which resumed live touring shows in 2022. Also contributing to the increase during the first quarter of 2022 were higher net revenues from streaming animated content deals related to programming featuring the Company's brands. These increases were partially offset by the sale of the eOne Music business in the third quarter of 2021, which accounted for $31.8 million of segment net revenues in the first quarter of 2021.</w:t>
      </w:r>
    </w:p>
    <w:p>
      <w:pPr>
        <w:spacing w:after="0" w:line="65"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Entertainment segment operating profit was $12.2 million, or 5.4% of segment net revenues for the first quarter of 2022 compared to operating profit of $17.0 million, or 7.8% of segment net revenues for the first quarter of 2021. The operating profit decrease during the first quarter of 2022 was driven by higher program cost amortization reflecting the mix of programming delivered during the first quarter of 2022 and the impact of the sale of eOne Music described above. These declines were partially offset by the allocation of $10.3 million of amortization costs related to the intangible assets acquired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3" w:name="page34"/>
    <w:bookmarkEnd w:id="33"/>
    <w:p>
      <w:pPr>
        <w:ind w:right="1640"/>
        <w:spacing w:after="0" w:line="375" w:lineRule="auto"/>
        <w:rPr>
          <w:sz w:val="20"/>
          <w:szCs w:val="20"/>
          <w:color w:val="auto"/>
        </w:rPr>
      </w:pPr>
      <w:r>
        <w:rPr>
          <w:rFonts w:ascii="Times New Roman" w:cs="Times New Roman" w:eastAsia="Times New Roman" w:hAnsi="Times New Roman"/>
          <w:sz w:val="18"/>
          <w:szCs w:val="18"/>
          <w:color w:val="auto"/>
        </w:rPr>
        <w:t xml:space="preserve">the eOne acquisition to the Consumer Products segment to match the revenue generated from such assets in the first quarter of 2022. </w:t>
      </w:r>
      <w:r>
        <w:rPr>
          <w:rFonts w:ascii="Times New Roman" w:cs="Times New Roman" w:eastAsia="Times New Roman" w:hAnsi="Times New Roman"/>
          <w:sz w:val="18"/>
          <w:szCs w:val="18"/>
          <w:i w:val="1"/>
          <w:iCs w:val="1"/>
          <w:color w:val="auto"/>
        </w:rPr>
        <w:t>Corporate and Other Segment</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Corporate and Other segment operating losses were $7.2 million for the first quarter of 2022 compared to operating losses of $12.0 million for the first quarter of 2021. The decline in operating losses in 2022 were the result of lower royalty expense and lower administrative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COSTS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costs and expenses, stated as percentages of net revenues, are illustrated below for the quarters ended March 27, 2022 and March 28,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7800" w:type="dxa"/>
            <w:vAlign w:val="bottom"/>
          </w:tcPr>
          <w:p>
            <w:pPr>
              <w:spacing w:after="0"/>
              <w:rPr>
                <w:sz w:val="19"/>
                <w:szCs w:val="19"/>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28, 2021</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distribution and administration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r>
    </w:tbl>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 of sales for the first quarter of 2022 was $333.1 million, or 28.6% of net revenues, compared to $289.9 million, or 26.0% of net revenues, for the first quarter of 2021. The cost of sales increase in dollars was due to higher sales volumes and higher product costs, including higher freight costs, partially offset by the impact of a favorable $6.5 million of foreign currency exchange. The cost of sales increase as a percent of net revenues was driven by the impact of higher product costs and freight costs described above.</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Program cost amortization increased to $138.5 million, or 11.9% of net revenues, for the first quarter of 2022 from $97.5 million, or 8.7% of net revenues, for the first quarter of 2021. Program costs are capitalized as incurred and amortized primarily using the individual-film-forecast method which matches costs to the related recognized revenue. The increase in dollars and as a percent of net revenues during the first quarter of 2022 was driven by the volume and mix of both scripted and unscripted programming revenues during the first quarter of 2022 compared to the first quarter of 2021.</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Royalty expense for the first quarter of 2022 decreased to $90.1 million, or 7.7% of net revenues, compared to $108.9 million, or 9.8% of net revenues, for the first quarter of 2021. Fluctuations in royalty expense are generally related to the volume of content releases and deliveries and entertainment-driven products sold. The decrease in royalty expense in dollars was driven by the impact of the sale of eOne Music and the mix of first quarter 2022 Film and TV deliveries. In addition, certain licensing agreements acquired through the eOne acquisition expired, which carried higher royalty expenses in prior periods. The decrease in royalty expense as a percent of net revenues during the first quarter of 2022 was the result of a higher percentage of product sales that do not carry significant royalty expenses.</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Product development expense for the first quarter of 2022 was $69.6 million, or 6.0% of net revenues, compared to $61.8 million, or 5.5% of net revenues, for the first quarter of 2021. The increase was primarily related to increased investments in the development of Wizards of the Coast tabletop and digital gaming initiatives.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Advertising expense for the first quarter of 2022 was $77.6 million, or 6.7% of net revenues, compared to $87.9 million, or 7.9% of net revenues, for the first quarter of 2021. Advertising spend is generally impacted by revenue mix and the number and type of entertainment releases delivered. The advertising expense decrease during the first quarter of 2022 was driven by lower expense within the Entertainment segment, as well as lower 2022 expense within the Wizards of the Coast and Digital Gaming segment, compared to the first quarter 2021, where advertising expense was driven by support for the launch of the mobile version of </w:t>
      </w:r>
      <w:r>
        <w:rPr>
          <w:rFonts w:ascii="Times New Roman" w:cs="Times New Roman" w:eastAsia="Times New Roman" w:hAnsi="Times New Roman"/>
          <w:sz w:val="18"/>
          <w:szCs w:val="18"/>
          <w:i w:val="1"/>
          <w:iCs w:val="1"/>
          <w:color w:val="auto"/>
        </w:rPr>
        <w:t>Magic: The Gathering Arena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Dungeons &amp; Dragons: Dark Alliance,</w:t>
      </w:r>
      <w:r>
        <w:rPr>
          <w:rFonts w:ascii="Times New Roman" w:cs="Times New Roman" w:eastAsia="Times New Roman" w:hAnsi="Times New Roman"/>
          <w:sz w:val="18"/>
          <w:szCs w:val="18"/>
          <w:color w:val="auto"/>
        </w:rPr>
        <w:t xml:space="preserve"> with no comparable releases in 2022.</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decreased to $27.1 million, or 2.3% of net revenues, for the first quarter of 2022, compared to $32.9 million, or 3.0% of net revenues, for the first quarter of 2021. The decrease in 2022 is related to the discontinuation of amortization related to the eOne Music intangible assets following the sale of eOne Music in the third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4" w:name="page35"/>
    <w:bookmarkEnd w:id="34"/>
    <w:p>
      <w:pPr>
        <w:ind w:right="40"/>
        <w:spacing w:after="0" w:line="258" w:lineRule="auto"/>
        <w:rPr>
          <w:sz w:val="20"/>
          <w:szCs w:val="20"/>
          <w:color w:val="auto"/>
        </w:rPr>
      </w:pPr>
      <w:r>
        <w:rPr>
          <w:rFonts w:ascii="Times New Roman" w:cs="Times New Roman" w:eastAsia="Times New Roman" w:hAnsi="Times New Roman"/>
          <w:sz w:val="18"/>
          <w:szCs w:val="18"/>
          <w:color w:val="auto"/>
        </w:rPr>
        <w:t>For the first quarter of 2022, the Company's selling, distribution and administration expenses increased to $307.1 million, or 26.4% of net revenues, from $288.6 million, or 25.9% of net revenues, for the first quarter of 2021. The increase in selling, distribution and administration expenses reflects higher marketing and sales and administrative costs, including higher compensation expense, as well as higher distribution and warehousing costs, primarily due to ongoing global supply chain disruptions. These increases were partially offset by lower administrative costs as a result of the sale of eOne Music during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NON-OPERATING EXPENSE (INCOME)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Interest expense for the first quarter of 2022 totaled $41.6 million compared to $47.9 million in the first quarter of 2021. The decrease in interest expense during the first quarter of 2022 primarily reflects long-term debt repayments made throughout 2021 and during the first quarter of 2022, related to borrowings utilized for the eOne acquisition.</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Interest income was $2.1 million for the first quarter of 2022 compared to $1.2 million in the first quarter of 2021, respectively. Higher average interest rates in 2022 compared to 2021 contributed to the increase.</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Other expense (income), net was $0.3 million for the first quarter of 2022 compared to other (income), net of $(28.9) million in the first quarter of 2021. The decline was primarily driven by a first quarter 2021 gain of $25.6 million realized from a legal settlement with no comparable gain in 2022 and lower earnings from the Company's joint venture with Discovery, partially offset by lower foreign currency losses during the first quarter of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Income tax expense totaled $17.3 million on pre-tax income of $80.2 million in the first quarter of 2022 compared to income tax expense of $12.0 million on pre-tax income of $129.5 million in the first quarter of 2021. Both periods were impacted by discrete tax events including the accrual of potential interest and penalties on uncertain tax positions. During the first quarter of 2022, favorable discrete tax adjustments were a net benefit of $2.3 million, compared to a net benefit of $8.9 million in the first quarter of 2021. The favorable discrete tax adjustments for the first quarter of 2022 primarily relate to the release of certain valuation allowances during the quarter. The favorable discrete tax adjustments for the first quarter of 2021 primarily relate to expiration of statutes of limitation for uncertain tax positions. In the first quarter of 2021, pre-tax income benefited from a legal settlement gain with no associated tax expense, due to the availability of net operating losses ("NOLs") and release of the related valuation allowance on the NOLs utilized by the settlement gain. Absent this discrete gain and tax items, the tax rates for the first quarter of 2022 and 2021 were 24.4% and 20.1%, respectively. The increase in the adjusted base rate of 24.4% for the first quarter of 2022 is primarily due to the mix of jurisdictions where the Company earned its profits.</w:t>
      </w:r>
    </w:p>
    <w:p>
      <w:pPr>
        <w:spacing w:after="0" w:line="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Tax Cuts and Jobs Act of 2017 ("Tax Act") provided for significant changes to the U.S. tax system including the mandatory capitalization of Research and Experimentation costs starting in the 2022 tax year. The Company is still assessing the impact, however the legislation is not expected to have a material effect on the Company's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Seasonality and Shipments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revenue pattern continues to show the second half of the year to be more significant to its overall business for the full year. The Company expects that this concentration will continue. The concentration of sales in the second half of the year increases the risk of (a) underproduction of popular items, (b) overproduction of less popular items, and (c) failure to achieve tight and compressed shipping schedules.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 maintain lower inventories throughout the year and purchase a greater percentage of product within or close to the fourth quarter holiday consumer buying season, which includes Christmas.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Quick response inventory management practices being used by retailers as well as growth in ecommerce result in orders increasingly placed for immediate delivery and fewer orders placed well in advance of shipment. Retailers are timing their orders so that they are filled by suppliers closer to the time of purchase by consumers. To the extent that retailers do not sell as much of their year-end inventory purchases during the current holiday selling season as they had anticipated, their demand for additional product earlier in the following fiscal year may be curtailed, thus negatively impacting the Company’s future revenues. However, more recently the Company's inventory levels reflect ongoing global supply chain disruptions, which began in late 2020 as economies slowly recovered from COVID-19 shutdowns, while consumer demand began to outpace the capacity of the global supply chain infrastructure. Supply chain constraints, including overcrowding of cargo ports and shipping container and truck transportation shortages, have also led to higher costs for ocean, air and over the road freight and delays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35" w:name="page36"/>
    <w:bookmarkEnd w:id="35"/>
    <w:p>
      <w:pPr>
        <w:ind w:right="180"/>
        <w:spacing w:after="0" w:line="261" w:lineRule="auto"/>
        <w:rPr>
          <w:sz w:val="20"/>
          <w:szCs w:val="20"/>
          <w:color w:val="auto"/>
        </w:rPr>
      </w:pPr>
      <w:r>
        <w:rPr>
          <w:rFonts w:ascii="Times New Roman" w:cs="Times New Roman" w:eastAsia="Times New Roman" w:hAnsi="Times New Roman"/>
          <w:sz w:val="18"/>
          <w:szCs w:val="18"/>
          <w:color w:val="auto"/>
        </w:rPr>
        <w:t>the availability of products, as inventory remains in transit for extended periods of time. These and other disruptions are expected to continue throughout 2022. During the first quarter of 2022, the Company accelerated certain inventory purchases, to ensure sufficient finished goods and raw material availability ahead of expected periods of high consumer demand. As a result, the Company expects 2022 inventory shipments to peak between May and July as opposed to the historical timeline of August to December.</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Unlike the Company's retail sales patterns, revenue patterns from the Company's entertainment businesses fluctuate based on the timing and popularity of television, film, streaming and digital content releases. Release dates are determined by factors including the timing of holiday periods, geographical release dates and competition in the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 Updates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27, 2022, there were no recently adopted accounting standards that had a material effect on the Company’s financial statements. The Company's significant accounting policies are summarized in note 1 to the consolidated financial statements included in the Company's Annual Report on Form 10-K for the year ended December 26,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March of 2020, the FASB issued Accounting Standards Update No. 2020-04 (ASU 2020-04) Reference Rate Reform (Topic 848): </w:t>
      </w:r>
      <w:r>
        <w:rPr>
          <w:rFonts w:ascii="Times New Roman" w:cs="Times New Roman" w:eastAsia="Times New Roman" w:hAnsi="Times New Roman"/>
          <w:sz w:val="18"/>
          <w:szCs w:val="18"/>
          <w:i w:val="1"/>
          <w:iCs w:val="1"/>
          <w:color w:val="auto"/>
        </w:rPr>
        <w:t>Facilitation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Effects of Reference Rate Reform on Financial Reporting. </w:t>
      </w:r>
      <w:r>
        <w:rPr>
          <w:rFonts w:ascii="Times New Roman" w:cs="Times New Roman" w:eastAsia="Times New Roman" w:hAnsi="Times New Roman"/>
          <w:sz w:val="18"/>
          <w:szCs w:val="18"/>
          <w:color w:val="auto"/>
        </w:rPr>
        <w:t>The amendments in this update provide optional expedients and exceptions for applying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change from LIBOR to an alternate rate has not had a material impact on the Company's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Russian Sanctions</w:t>
      </w:r>
    </w:p>
    <w:p>
      <w:pPr>
        <w:spacing w:after="0" w:line="20"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As a result of the recent military conflict in Ukraine, which has led to sanctions and other penalties being levied by the United States, European Union and other countries against Russia, the Company has paused all shipments and new content distribution into Russia. Although our business has not been materially impacted by the ongoing military conflict, the extent to which our operations, or those of our suppliers and manufacturers will be impacted remains unknown. Any longstanding disruptions may magnify the impact of other risks described in this Quarterly Report on Form 10-Q and in the Company's Annual Report on Form 10-K for the year ended December 26, 2021.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historically generated a significant amount of cash from operations. In the first three months of 2022 and 2021, the Company primarily funded its operations and liquidity needs through cash on hand and from cash flows from operations, and when needed, used borrowings under its available lines of credit. In addition, the Company’s Entertainment operating segment used production financing to fund certain of its television and film productions which are typically arranged on an individual production basis using either the Company's revolving film and television production credit facility or through special purpose production subsidiaries. For more information on the Company's production financing facilities, including expected future repayments, see note 7 to the consolidated financial statements included in Part I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The Company expects to continue to fund its working capital needs primarily through available cash, cash flows from operations and from production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facilities and, if needed, by issuing commercial paper or borrowing under its revolving credit agreement. In the event that the Company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able to issue commercial paper, the Company intends to utilize its available lines of credit. The Company believes that the funds available to it,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expected to be generated from operations, funds available through its commercial paper program or its available lines of credit and production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are adequate to meet its working capital needs for the remainder of 2022, including the repayment of the current portion of long-term debt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$155.8 million, as shown on the consolidated balance sheets, which represents the current portion of required quarterly principal amortization payments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term loan facilities and other short-term production financing facilities, each as described below. The Company may also issue debt or equity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to provide additional sources of liquidity when pursuing opportunities to enhance our long-term competitive position, while maintaining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strong balance sheet. However, unexpected events or circumstances such as material operating losses or increased capital or other expenditures,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inability to otherwise access the commercial paper market, may reduce or eliminate the availability of external financial resources. In addition,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disruptions to credit markets may also reduce or eliminate the availability of external financial resources. Although the Company believes the risk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nonperformance by the counterparties to its financial facilities is not significant, in times of severe economic downturn in the credit markets, it is possible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one or more sources of external financing may be unable or unwilling to provide funding to the Company.</w:t>
      </w:r>
    </w:p>
    <w:p>
      <w:pPr>
        <w:spacing w:after="0" w:line="9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March 27, 2022, the Company's cash and cash equivalents totaled $1,057.9 million, of which $38.8 million is restricted under the Company’s production financing facilities.</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Prior to 2017, deferred income taxes had not been provided on the majority of undistributed earnings of international subsidiaries as such earnings were indefinitely reinvested by the Company. Accordingly, such international cash balances were not available to fund cash requirements in the United States unless the Company was to change its reinvestment policy. The Company has maintained sufficient sources of cash in the United States to fund cash requirements without the need to repatriate any funds. The Tax Act provided significant changes to the U.S. tax system including the elimination of the ability to defer U.S. income tax on unrepatriated earnings by imposing a one-time mandatory deemed repatriation tax on undistributed foreign earnings. As of March 27, 2022, the Company had a total liability of $156.1 million related to this tax, $18.4 million is reflected in current liabilities while the remaining long-term payable related to the Tax Act of $137.7 million is presented within other liabilities, non-current on the consolidated balance sheets included in Part I of this Form 10-Q. As permitted by the Tax Act, the Company will pay the transition tax in annual interest-free installments through 2025. As a result, in the future, the related earnings in foreign jurisdictions will be made available with greater investment flexibility. The majority of the Company’s cash and cash equivalents held outside of the United States as of March 27, 2022 are denominated in the U.S. dollar.</w:t>
      </w:r>
    </w:p>
    <w:p>
      <w:pPr>
        <w:spacing w:after="0" w:line="15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Because of the seasonality in the Company's cash flow, management believes that on an interim basis, rather than discussing only its cash flows, a better understanding of its liquidity and capital resources can be obtained through a discussion of the various balance sheet categories. Also, as several of the major categories, including cash and cash equivalents, accounts receivable, inventories and short-term borrowings, fluctuate significantly from quarter to quarter, due to the seasonality of its business, management believes that a comparison to the comparable period in the prior year is generally more meaningful than a comparison to the prior year-end.</w:t>
      </w:r>
    </w:p>
    <w:p>
      <w:pPr>
        <w:spacing w:after="0" w:line="129"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8"/>
          <w:szCs w:val="18"/>
          <w:color w:val="auto"/>
        </w:rPr>
        <w:t>The table below outlines key financial information (in millions of dollars) pertaining to our consolidated balance sheets including the period-over-period changes.</w:t>
      </w:r>
    </w:p>
    <w:tbl>
      <w:tblPr>
        <w:tblLayout w:type="fixed"/>
        <w:tblInd w:w="0" w:type="dxa"/>
        <w:tblCellMar>
          <w:top w:w="0" w:type="dxa"/>
          <w:left w:w="0" w:type="dxa"/>
          <w:bottom w:w="0" w:type="dxa"/>
          <w:right w:w="0" w:type="dxa"/>
        </w:tblCellMar>
      </w:tblPr>
      <w:tr>
        <w:trPr>
          <w:trHeight w:val="224"/>
        </w:trPr>
        <w:tc>
          <w:tcPr>
            <w:tcW w:w="63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28, 2021</w:t>
            </w:r>
          </w:p>
        </w:tc>
        <w:tc>
          <w:tcPr>
            <w:tcW w:w="10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of $38.8 and $72.1)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bl>
    <w:p>
      <w:pPr>
        <w:spacing w:after="0" w:line="2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Accounts receivable increased 15% to $931.7 million at March 27, 2022, compared to $810.4 million at March 28, 2021. Absent the unfavorable foreign currency exchange impact of $21.7 million, accounts receivable increased 18% or $143.0 million. The increase in accounts receivable was driven by higher sales during the first quarter of 2022. Days sales outstanding increased from 66 days at March 28, 2021 to 73 days at March 27, 2022 primarily due to Entertainment receivables, which have longer collection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ind w:right="120"/>
        <w:spacing w:after="0" w:line="261" w:lineRule="auto"/>
        <w:rPr>
          <w:sz w:val="20"/>
          <w:szCs w:val="20"/>
          <w:color w:val="auto"/>
        </w:rPr>
      </w:pPr>
      <w:r>
        <w:rPr>
          <w:rFonts w:ascii="Times New Roman" w:cs="Times New Roman" w:eastAsia="Times New Roman" w:hAnsi="Times New Roman"/>
          <w:sz w:val="18"/>
          <w:szCs w:val="18"/>
          <w:color w:val="auto"/>
        </w:rPr>
        <w:t>Inventories increased to $644.3 million as of March 27, 2022, compared to $429.2 million at March 28, 2021. Absent the unfavorable foreign currency exchange impact of $19.8 million, inventories increased 55% or $234.9 million. The increase in 2022 inventory balances reflects increased lead-times and higher freight-in costs, most notably in the U.S. and Europe, attributable to the Company's Consumer Products and Wizards of the Coast tabletop gaming businesses. In addition, to mitigate the impact of certain global supply chain challenges, the Company accelerated inventory purchases in the first quarter.</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Prepaid expenses and other current assets increased 10% to $621.4 million at March 27, 2022 from $566.0 million at March 28, 2021. The increase was driven by higher accrued tax credit balances related to film and television production costs due to increased productions and timing of tax credit claims as well as higher accrued royalty and licensing balances, primarily attributable to the Company's Entertainment business. These increases were partially offset by lower prepaid royalty balances in relation to the Company’s MARVEL, POWER RANGERS and DISNEY PRINCESS royalty agreements and from lower prepaid tax balances during the second quarter 2022.</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assets increased to $1,284.9 million at March 27, 2022 from $1,266.0 million at March 28, 2021. The increase was driven by higher capitalized film and television content and production balances due to increased investments in productions and acquired content, higher long-term accrued income balances related to certain of the Company's content distribution arrangements and higher non-current receivable balances within the Entertainment segment. These increases were partially offset by a lower balance for the Company's investment in Discovery Family Channel, due to an impairment charge recorded in the fourth quarter of 2021 and distributions made in the first quarter of 2022, and from certain content and production assets sold in connection with the sale of eOne Music during the third quarter of 2021.</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payable and accrued liabilities increased 12% to $1,783.1 million at March 27, 2022 from $1,595.7 million at March 28, 2021 driven by higher account payable balances, higher accrued freight balances due to increased costs as a result of supply chain disruptions, higher accrued royalty balances due to higher sales of partner brand products as well as growth in the Entertainment segment, higher accrued expenses for investments in content and productions, higher incentive compensation accruals, and higher accrued tax balances. These increases were partially offset by lower deferred revenue balances due to the timing of certain scripted television content deliveries, lower accounts payable and accrued liabilities balances associated with the sale of eOne Music and lower severance accruals from payments made in relation to restructuring actions taken in 2020.</w:t>
      </w:r>
    </w:p>
    <w:p>
      <w:pPr>
        <w:spacing w:after="0" w:line="14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Other liabilities decreased 19% to $633.6 million at March 27, 2022 from $777.7 million at March 28, 2021. The decrease was driven by lower long-term lease liability balances, lower long-term deferred tax liability balances due to the sale of eOne Music during the third quarter of 2021, a lower Discovery option agreement balance due to a revaluation of the Discovery Family Channel investment during the fourth quarter of 2021, a lower transition tax liability balance reflecting the reclassification of the 2021 installment payment due April 2022, and lower tax reserves.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Consolidated Statement of Cash Flows, expressed in millions of dollars, for the quarters ended March 27, 2022 and March 28, 2021.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March 27, 2022</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28, 2021</w:t>
            </w: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(utilized for):</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30"/>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r>
    </w:tbl>
    <w:p>
      <w:pPr>
        <w:spacing w:after="0" w:line="2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 the first quarter of 2022 was $134.7 million compared to $377.6 million in the first quarter of 2021. The $242.9 million decrease in net cash provided by operating activities was primarily attributable to lower earnings in 2022 and higher working capital requirements, including higher inventory costs, higher incentive bonus payments and higher freight costs due to ongoing supply chain constraints.</w:t>
      </w:r>
    </w:p>
    <w:p>
      <w:pPr>
        <w:spacing w:after="0" w:line="135"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Net cash utilized for investing activities was $23.9 million in the first quarter of 2022 compared to $25.5 million in the first quarter of 2021. Additions to property, plant and equipment were $29.2 million in the first quarter of 2022 compared to $23.9 million in the first quarter of 2021.</w:t>
      </w:r>
    </w:p>
    <w:p>
      <w:pPr>
        <w:spacing w:after="0" w:line="12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Net cash utilized for financing activities was $77.5 million in the first quarter of 2022 compared to $370.8 million in the first quarter of 2021. Financing activities in the first quarter of 2022 include payments totaling $57.5 million related to the $1.0 billion in term loans described below, consisting of $50.0 million principal and a quarterly principal amortization payment of $7.5 million toward the Five-Year Tranche loan, in addition to drawdowns of $112.2 million and repayments of $84.0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8" w:name="page39"/>
    <w:bookmarkEnd w:id="38"/>
    <w:p>
      <w:pPr>
        <w:ind w:right="40"/>
        <w:spacing w:after="0" w:line="261" w:lineRule="auto"/>
        <w:rPr>
          <w:sz w:val="20"/>
          <w:szCs w:val="20"/>
          <w:color w:val="auto"/>
        </w:rPr>
      </w:pPr>
      <w:r>
        <w:rPr>
          <w:rFonts w:ascii="Times New Roman" w:cs="Times New Roman" w:eastAsia="Times New Roman" w:hAnsi="Times New Roman"/>
          <w:sz w:val="18"/>
          <w:szCs w:val="18"/>
          <w:color w:val="auto"/>
        </w:rPr>
        <w:t>related to production financing loans. Financing activities in the first quarter of 2021 included the early repayment of $300.0 million aggregate principal amount of 3.15% Notes due May 2021, as well as drawdowns of $72.4 million and repayments of $37.4 million related to production financing loans. In addition, during the first quarter of 2021, the Company made a quarterly principal amortization payment of $7.5 million toward the Five-Year Tranche loan described below.</w:t>
      </w:r>
    </w:p>
    <w:p>
      <w:pPr>
        <w:spacing w:after="0" w:line="153" w:lineRule="exact"/>
        <w:rPr>
          <w:sz w:val="20"/>
          <w:szCs w:val="20"/>
          <w:color w:val="auto"/>
        </w:rPr>
      </w:pPr>
    </w:p>
    <w:p>
      <w:pPr>
        <w:ind w:right="1180"/>
        <w:spacing w:after="0" w:line="414" w:lineRule="auto"/>
        <w:rPr>
          <w:sz w:val="20"/>
          <w:szCs w:val="20"/>
          <w:color w:val="auto"/>
        </w:rPr>
      </w:pPr>
      <w:r>
        <w:rPr>
          <w:rFonts w:ascii="Times New Roman" w:cs="Times New Roman" w:eastAsia="Times New Roman" w:hAnsi="Times New Roman"/>
          <w:sz w:val="18"/>
          <w:szCs w:val="18"/>
          <w:color w:val="auto"/>
        </w:rPr>
        <w:t xml:space="preserve">Dividends paid in the first quarter of 2022 totaled $94.5 million, consistent with dividends paid in the first quarter of 2021 of $93.4 million. </w:t>
      </w:r>
      <w:r>
        <w:rPr>
          <w:rFonts w:ascii="Times New Roman" w:cs="Times New Roman" w:eastAsia="Times New Roman" w:hAnsi="Times New Roman"/>
          <w:sz w:val="18"/>
          <w:szCs w:val="18"/>
          <w:b w:val="1"/>
          <w:bCs w:val="1"/>
          <w:i w:val="1"/>
          <w:iCs w:val="1"/>
          <w:color w:val="auto"/>
        </w:rPr>
        <w:t>Sources and Uses of Cash</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commits to inventory production, advertising and marketing expenditures in support of its consumer products business, prior to the peak fourth quarter retail selling season. Accounts receivable typically increase during the third and fourth quarter as customers increase their purchases to meet consumer demand expected in the holiday selling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sometimes makes it necessary for the Company to borrow amounts during the latter part of the year. In the Company's entertainment business, expenditures of cash for productions are often made well in advance of sale and delivery of the content produced. Trading card and digital gaming revenues have shorter collection periods, but product development expense often occurs years prior to release and revenue generation. During the first quarter of 2022 and 2021, the Company primarily used cash from operations and, to a lesser extent, borrowings under available lines of credit, in particular production financing vehicles, to fund its working capital.</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 billion.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At March 27, 2022, the Company had no outstanding borrowings related to the Program.</w:t>
      </w:r>
    </w:p>
    <w:p>
      <w:pPr>
        <w:spacing w:after="0" w:line="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has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 billion.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March 27, 2022. The Company had no borrowings outstanding under its committed revolving credit facility as of March 27, 2022. However, letters of credit outstanding under this facility as of March 27, 2022 were approximately $3.1 million. Amounts available and unused under the committed line, at March 27, 2022 were approximately $1.5 billion, inclusive of borrowings under the Company’s commercial paper program. The Company also has other uncommitted lines from various banks, of which approximately $10.9 million was utilized at March 27, 2022. Of the amount utilized under, or supported by, the uncommitted lines, approximately $10.2 million and $0.7 million represent letters of credit and outstanding short-term borrowings, respectively.</w:t>
      </w:r>
    </w:p>
    <w:p>
      <w:pPr>
        <w:spacing w:after="0" w:line="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As of March 27, 2022, the Company has fully repaid the Three-Year Tranche $400.0 million principal term loan, and of the Five-Year Tranche $600.0 million principal balance, the Company has repaid a total of $260.0 million in the following increments: $22.5 million in 2020; $180.0 million in 2021; and, $57.5 million in the first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9" w:name="page40"/>
    <w:bookmarkEnd w:id="39"/>
    <w:p>
      <w:pPr>
        <w:ind w:right="40"/>
        <w:spacing w:after="0" w:line="266" w:lineRule="auto"/>
        <w:rPr>
          <w:sz w:val="20"/>
          <w:szCs w:val="20"/>
          <w:color w:val="auto"/>
        </w:rPr>
      </w:pPr>
      <w:r>
        <w:rPr>
          <w:rFonts w:ascii="Times New Roman" w:cs="Times New Roman" w:eastAsia="Times New Roman" w:hAnsi="Times New Roman"/>
          <w:sz w:val="18"/>
          <w:szCs w:val="18"/>
          <w:color w:val="auto"/>
        </w:rPr>
        <w:t>consisting of $50.0 million principle and a quarterly principal amortization payment of $7.5 million. The Company is subject to certain financial covenants contained in this agreement and as of March 27, 2022, the Company was in compliance with these covenants. The terms of the Term Loan Facilities are described in note 7 to the consolidated financial statements included in Part I of this Form 10-Q.</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During November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During the third quarter of 2021 </w:t>
      </w:r>
      <w:r>
        <w:rPr>
          <w:rFonts w:ascii="Times New Roman" w:cs="Times New Roman" w:eastAsia="Times New Roman" w:hAnsi="Times New Roman"/>
          <w:sz w:val="18"/>
          <w:szCs w:val="18"/>
          <w:color w:val="212529"/>
        </w:rPr>
        <w:t>the Company repaid in full, its 2022 Notes in the aggregate principal amount of $300.0 million, including</w:t>
      </w:r>
      <w:r>
        <w:rPr>
          <w:rFonts w:ascii="Times New Roman" w:cs="Times New Roman" w:eastAsia="Times New Roman" w:hAnsi="Times New Roman"/>
          <w:sz w:val="18"/>
          <w:szCs w:val="18"/>
          <w:color w:val="auto"/>
        </w:rPr>
        <w:t xml:space="preserve"> early redemption premiums and accrued interest of $10.8 million. The terms of the Notes are described in note 7 to the consolidated financial statements in Part I of this Form 10-Q.</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uses production financing facilities to fund its film and television productions which are typically arranged on an individual production basis by either special purpose production subsidiaries, each secured by the assets and future revenues of such production subsidiaries, which are non-recourse to the Company's assets, or through a senior revolving credit facility dedicated to production financing obtained in November 2021. The Company's senior revolving film and television production credit facility (the “RPCF”) with MUFG Union Bank, N.A., as administrative agent and lender and certain other financial institutions, as lenders thereto (the “Revolving Production Financing Agreement”)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 Going forward, the Company expects to utilize the revolving production financing facility for the majority of its production financing needs. During the first quarter of 2022, the Company had total drawdowns of $112.2 million and repayments of $84.0 million towards these production financing facilities. As of March 27, 2022 the Company had outstanding production financing borrowings related to these facilities of $199.1 million, $95.8 million of which are recorded within the current portion of long-term debt and $103.3 million are recorded within short-term borrowings in the Company's consolidated balance sheets, included in Part I of this Form 10-Q.</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principal amounts of long-term debt as of March 27, 2022 of $3.9 billion, due at varying times from 2024 through 2044. Of the total principal amount of long-term debt, $155.8 million is current at March 27, 2022 of which $60.0 million is related to principal amortization of the 5-year term loans due December 2024 and $95.8 million represents the Company's outstanding production financing facilities described above. During the first quarter of 2021, the Company repaid in full, its 3.15% Notes in the aggregate principal amount of $300.0 million due in May 2021, including accrued interest. </w:t>
      </w:r>
      <w:r>
        <w:rPr>
          <w:rFonts w:ascii="Times New Roman" w:cs="Times New Roman" w:eastAsia="Times New Roman" w:hAnsi="Times New Roman"/>
          <w:sz w:val="18"/>
          <w:szCs w:val="18"/>
          <w:color w:val="212529"/>
        </w:rPr>
        <w:t>All of the Company’s other long-term borrowings have contractual maturities that occur subsequent to the third quarter of 2024, with the exception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 certain of the Company’s production financing facilities discussed above.</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also had letters of credit and other similar instruments of approximately $13.4 million and purchase commitments of approximately $405.3 million outstanding at March 27, 2022.</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contractual obligations and commercial commitments, as detailed in the Company's 2021 Form 10-K, did not materially change outside of certain payments made in the normal course of business and as otherwise set forth in this report.</w:t>
      </w:r>
    </w:p>
    <w:p>
      <w:pPr>
        <w:spacing w:after="0" w:line="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has a long history of returning cash to its shareholders through quarterly dividends and share repurchases. In February 2022, Hasbro maintained its quarterly dividend rate of $0.68 per share with its first dividend payment of 2022. In addition, in February 2022, the Company’s Board of Directors announced a 3% increase to the Company’s quarterly dividend rate from $0.68 per share to $0.70 per share, for the dividend scheduled to be paid in May 2022. The Company also returns cash to shareholders through its share repurchase program. As part of this initiative, since 2005, the Company's Board of Directors (the "Board") adopted numerous share repurchase authorizations with a cumulative authorized repurchase amount of $4.3 billion. The most recent authorization was approved in May 2018 for $500 million. Since 2005, Hasbro has repurchased 108.6 million shares at a total cost of $4.0 billion and an average price of $36.44 per share. At March 27, 2022, the Company had $366.6 million remaining under these share repurchase authorizations. Following the Company's acquisition of eOne, the Company temporarily suspended its share repurchase program to prioritize deleveraging. There were no repurchases of the Company's common stock in the first quarter of 2022. A share repurchase program continues to be an important long-term component of Hasbro’s capital allocation strategy. In April 2022, given the Company's progress towards reducing debt, the Company announced plans to resume its share repurchase activity during the second quarter of 2022, with a target of repurchasing $75.0 million to $150.0 million of Hasbro common stock in the open market in 2022. The Company has no obligation to repurchase shares under the authorization, and the timing, actual number, and value of the shares that are repurchased, if any, will depend on a number of factors, including the price of the Company’s stock and the Company's generation of, and uses for,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0" w:name="page41"/>
    <w:bookmarkEnd w:id="40"/>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believes that cash from operations, and, if necessary, its committed line of credit and other borrowing facilities, will allow the Company to meet its obligations over the next twelve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film and television production costs, recoverability of goodwill and intangible assets, income taxes and business combinations. Additionally, the Company identified the valuation of the Company’s equity method investment in Discovery Family Channel as a significant accounting estimate. These critical accounting policies are the same as those detailed in the Company's 2021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 MANAGEMENT</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Brazilian real, Russian ruble and Mexican peso and, to a lesser extent, other currencies in Latin American and Asia Pacific countries.</w:t>
      </w:r>
    </w:p>
    <w:p>
      <w:pPr>
        <w:spacing w:after="0" w:line="1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manage this exposure, the Company has hedged a portion of its forecasted foreign currency transactions using foreign exchange forward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1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reflects derivatives at their fair value as an asset or liability on the consolidated balance sheets. The Company does not speculate in foreign currency exchange contracts. At March 27, 2022, these contracts had net unrealized gains of $5.3 million, of which $9.9 million of unrealized gains are recorded in prepaid expenses and other current assets, $4.4 million of unrealized losses are recorded in accrued liabilities and $0.2 million of unrealized losses are recorded in other long-term liabilities. Included in accumulated other comprehensive loss at March 27, 2022 are deferred gains, net of tax, of $8.7 million, related to these derivatives.</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March 27, 2022, the Company had principal amounts long-term debt of $3.7 billion. In May 2014, the Company issued an aggregate $600.0 million of long-term debt which consisted of $300.0 million of 3.15% Notes, subsequently repaid in 2021, and $300.0 million of 5.10% Notes due 2044. Prior to the May 2014 debt issuance, the Company entered into forward-starting interest rate swap agreements with a total notional value of $500.0 million to hedge the anticipated underlying U.S. Treasury interest rate. These interest rate swaps were matched with this debt issuance and were designated and effective as hedges of the change in future interest payments. At the date of issuance, the Company terminated these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March 27, 2022 are deferred losses, net of tax, of $15.4 million related to these derivatives.</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impact of inflation on the Company's business operations has been significant during the first quarter of 2022 compared to prior years. However, due to mitigating actions taken by the Company, such as price increases during 2021 where deemed necessary, the impact of general price inflation on our financial position and results of operations has been reduced. The Company continues to monitor the impact of inflation to its business operations on an ongoing basis and plans to implement additional price increases in 2022 and may need to adjust its prices further to mitigate the impact of changes to the rate of inflation in future periods. However, future volatility of general price inflation and the impact of inflation on costs and availability of materials, costs for shipping and warehousing and other operational overhead could adversely affect the Company's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640715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Part I, Item 2. "Management's Discussion and Analysis of Financial Condition and Results of Operations" and is incorporated herein by reference.</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8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27, 2022. Based on the evaluation of these disclosure controls and procedures, the Chief Executive Officer and Chief Financial Officer concluded that the Company's disclosure controls and procedures were effective.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5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promulgated under the Exchange Act, during the quarter ended March 27, 2022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42" w:name="page43"/>
    <w:bookmarkEnd w:id="42"/>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party to certain legal proceedings, none of which it believes to be material to its business or financial condition.</w:t>
      </w:r>
    </w:p>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212529"/>
        </w:rPr>
        <w:t>In connection with information set forth in this Quarterly Report on Form 10-Q, the risk factors discussed under Item 1A. Risk Factors, in Part I of our 2021 Form 10-K and in our subsequent filings, including in this filing, should be considered. The risks set forth in our 2021 Form 10-K and in our subsequent filings, including in this filing, could materially and adversely affect our business, financial condition, and results of operations. There are no material changes from the risk factors as previously disclosed in our 2021 10-K, in any of our subsequently filed reports or as otherwise set forth in this Quarterly Report.</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May 2018, the Company announced that its Board of Directors authorized the repurchase of an additional $500 million of common stock.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Following the Company’s acquisition of eOne, the Company temporarily suspended its share repurchase program to prioritize deleveraging. There were no repurchases of the Company’s common stock in the first quarter of 2022. A share repurchase program continues to be an important long-term component of Hasbro’s capital allocation strategy. In April 2022, given the Company’s progress toward reducing debt, the Company announced plans to resume its share repurchase activity during the second quarter of 2022, with a target of repurchasing $75 to $150 million of Hasbro common stock in the open market in 2022.</w:t>
      </w:r>
    </w:p>
    <w:p>
      <w:pPr>
        <w:spacing w:after="0" w:line="1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3" w:name="page44"/>
    <w:bookmarkEnd w:id="4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91" w:lineRule="exact"/>
        <w:rPr>
          <w:sz w:val="20"/>
          <w:szCs w:val="20"/>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hyperlink r:id="rId80">
        <w:r>
          <w:rPr>
            <w:rFonts w:ascii="Times New Roman" w:cs="Times New Roman" w:eastAsia="Times New Roman" w:hAnsi="Times New Roman"/>
            <w:sz w:val="18"/>
            <w:szCs w:val="18"/>
            <w:u w:val="single" w:color="auto"/>
            <w:color w:val="0000FF"/>
          </w:rPr>
          <w:t>Restated Articles of Incorporation of the Company. (Incorporated by reference to Exhibit 3.1 to the Company's Quarterly Report on Form</w:t>
        </w:r>
      </w:hyperlink>
    </w:p>
    <w:p>
      <w:pPr>
        <w:ind w:left="980"/>
        <w:spacing w:after="0"/>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10-Q for the period ended July 2, 2000, File No. 1-6682.)</w:t>
        </w:r>
      </w:hyperlink>
    </w:p>
    <w:p>
      <w:pPr>
        <w:spacing w:after="0" w:line="70" w:lineRule="exact"/>
        <w:rPr>
          <w:sz w:val="20"/>
          <w:szCs w:val="20"/>
          <w:color w:val="auto"/>
        </w:rPr>
      </w:pPr>
    </w:p>
    <w:p>
      <w:pPr>
        <w:ind w:left="980" w:right="10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3.2 </w:t>
      </w:r>
      <w:hyperlink r:id="rId81">
        <w:r>
          <w:rPr>
            <w:rFonts w:ascii="Times New Roman" w:cs="Times New Roman" w:eastAsia="Times New Roman" w:hAnsi="Times New Roman"/>
            <w:sz w:val="18"/>
            <w:szCs w:val="18"/>
            <w:u w:val="single" w:color="auto"/>
            <w:color w:val="0000FF"/>
          </w:rPr>
          <w:t>Amendment to Articles of Incorporation, dated June 28, 2000. (Incorporated by reference to Exhibit 3.4 to the Company's Quarterly Report</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FF"/>
          </w:rPr>
          <w:t>on Form 10-Q for the period ended July 2, 2000, File No. 1-6682.)</w:t>
        </w:r>
      </w:hyperlink>
    </w:p>
    <w:p>
      <w:pPr>
        <w:spacing w:after="0" w:line="64" w:lineRule="exact"/>
        <w:rPr>
          <w:sz w:val="20"/>
          <w:szCs w:val="20"/>
          <w:color w:val="auto"/>
        </w:rPr>
      </w:pPr>
    </w:p>
    <w:p>
      <w:pPr>
        <w:ind w:left="980" w:right="4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3.3 </w:t>
      </w:r>
      <w:hyperlink r:id="rId82">
        <w:r>
          <w:rPr>
            <w:rFonts w:ascii="Times New Roman" w:cs="Times New Roman" w:eastAsia="Times New Roman" w:hAnsi="Times New Roman"/>
            <w:sz w:val="18"/>
            <w:szCs w:val="18"/>
            <w:u w:val="single" w:color="auto"/>
            <w:color w:val="0000FF"/>
          </w:rPr>
          <w:t>Amendment to Articles of Incorporation, dated May 19, 2003. (Incorporated by reference to Exhibit 3.3 to the Company's Quarterly Report</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FF"/>
          </w:rPr>
          <w:t>on Form 10-Q for the period ended June 29, 2003, File No. 1-6682.)</w:t>
        </w:r>
      </w:hyperlink>
    </w:p>
    <w:p>
      <w:pPr>
        <w:spacing w:after="0" w:line="64" w:lineRule="exact"/>
        <w:rPr>
          <w:sz w:val="20"/>
          <w:szCs w:val="20"/>
          <w:color w:val="auto"/>
        </w:rPr>
      </w:pPr>
    </w:p>
    <w:p>
      <w:pPr>
        <w:ind w:left="980" w:right="2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3.4 </w:t>
      </w:r>
      <w:hyperlink r:id="rId83">
        <w:r>
          <w:rPr>
            <w:rFonts w:ascii="Times New Roman" w:cs="Times New Roman" w:eastAsia="Times New Roman" w:hAnsi="Times New Roman"/>
            <w:sz w:val="18"/>
            <w:szCs w:val="18"/>
            <w:u w:val="single" w:color="auto"/>
            <w:color w:val="0000FF"/>
          </w:rPr>
          <w:t>Amended and Restated Bylaws of the Company, as amended. (Incorporated by reference to Exhibit 3(d) to the Company's Annual Report on</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FF"/>
          </w:rPr>
          <w:t>Form 10-K for the fiscal year ended December 31, 2006, File No. 1-6682.)</w:t>
        </w:r>
      </w:hyperlink>
    </w:p>
    <w:p>
      <w:pPr>
        <w:spacing w:after="0" w:line="64" w:lineRule="exact"/>
        <w:rPr>
          <w:sz w:val="20"/>
          <w:szCs w:val="20"/>
          <w:color w:val="auto"/>
        </w:rPr>
      </w:pPr>
    </w:p>
    <w:p>
      <w:pPr>
        <w:ind w:left="980" w:right="30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3.5 </w:t>
      </w:r>
      <w:hyperlink r:id="rId84">
        <w:r>
          <w:rPr>
            <w:rFonts w:ascii="Times New Roman" w:cs="Times New Roman" w:eastAsia="Times New Roman" w:hAnsi="Times New Roman"/>
            <w:sz w:val="18"/>
            <w:szCs w:val="18"/>
            <w:u w:val="single" w:color="auto"/>
            <w:color w:val="0000FF"/>
          </w:rPr>
          <w:t>Amendment to Amended and Restated Bylaws of the Company, as amended. (Incorporated by reference to Exhibit 3.1 to the Company's</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FF"/>
          </w:rPr>
          <w:t>Current Report on Form 8-K dated August 6, 2014, File No. 1-6682.)</w:t>
        </w:r>
      </w:hyperlink>
    </w:p>
    <w:p>
      <w:pPr>
        <w:spacing w:after="0" w:line="64" w:lineRule="exact"/>
        <w:rPr>
          <w:sz w:val="20"/>
          <w:szCs w:val="20"/>
          <w:color w:val="auto"/>
        </w:rPr>
      </w:pPr>
    </w:p>
    <w:p>
      <w:pPr>
        <w:ind w:left="980" w:right="28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3.6 </w:t>
      </w:r>
      <w:hyperlink r:id="rId85">
        <w:r>
          <w:rPr>
            <w:rFonts w:ascii="Times New Roman" w:cs="Times New Roman" w:eastAsia="Times New Roman" w:hAnsi="Times New Roman"/>
            <w:sz w:val="18"/>
            <w:szCs w:val="18"/>
            <w:u w:val="single" w:color="auto"/>
            <w:color w:val="0000FF"/>
          </w:rPr>
          <w:t>Amendment to Amended and Restated Bylaws of the Company, as amended. (Incorporated by reference to Exhibit 3.1 to the Company’s</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FF"/>
          </w:rPr>
          <w:t>Current Report on Form 8-K dated October 5, 2015, File No. 1-6682.)</w:t>
        </w:r>
      </w:hyperlink>
    </w:p>
    <w:p>
      <w:pPr>
        <w:spacing w:after="0" w:line="64" w:lineRule="exact"/>
        <w:rPr>
          <w:sz w:val="20"/>
          <w:szCs w:val="20"/>
          <w:color w:val="auto"/>
        </w:rPr>
      </w:pPr>
    </w:p>
    <w:p>
      <w:pPr>
        <w:ind w:left="980" w:right="28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3.7 </w:t>
      </w:r>
      <w:hyperlink r:id="rId86">
        <w:r>
          <w:rPr>
            <w:rFonts w:ascii="Times New Roman" w:cs="Times New Roman" w:eastAsia="Times New Roman" w:hAnsi="Times New Roman"/>
            <w:sz w:val="18"/>
            <w:szCs w:val="18"/>
            <w:u w:val="single" w:color="auto"/>
            <w:color w:val="0000FF"/>
          </w:rPr>
          <w:t>Amendment to Amended and Restated Bylaws of the Company, as amended. (Incorporated by reference to Exhibit 3.1 to the Company’s</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FF"/>
          </w:rPr>
          <w:t>Current Report on Form 8-K dated December 10, 2015, File No. 1-6682.)</w:t>
        </w:r>
      </w:hyperlink>
    </w:p>
    <w:p>
      <w:pPr>
        <w:spacing w:after="0" w:line="64" w:lineRule="exact"/>
        <w:rPr>
          <w:sz w:val="20"/>
          <w:szCs w:val="20"/>
          <w:color w:val="auto"/>
        </w:rPr>
      </w:pPr>
    </w:p>
    <w:p>
      <w:pPr>
        <w:ind w:left="98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3.8 </w:t>
      </w:r>
      <w:hyperlink r:id="rId87">
        <w:r>
          <w:rPr>
            <w:rFonts w:ascii="Times New Roman" w:cs="Times New Roman" w:eastAsia="Times New Roman" w:hAnsi="Times New Roman"/>
            <w:sz w:val="18"/>
            <w:szCs w:val="18"/>
            <w:u w:val="single" w:color="auto"/>
            <w:color w:val="0000FF"/>
          </w:rPr>
          <w:t>Certificate of Designations of Series C Junior Participating Preference Stock of Hasbro, Inc. dated June 29, 1999. (Incorporated by reference</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FF"/>
          </w:rPr>
          <w:t>to Exhibit 3.2 to the Company's Quarterly Report on Form 10-Q for the period ended July 2, 2000, File No. 1-6682.)</w:t>
        </w:r>
      </w:hyperlink>
    </w:p>
    <w:p>
      <w:pPr>
        <w:spacing w:after="0" w:line="64" w:lineRule="exact"/>
        <w:rPr>
          <w:sz w:val="20"/>
          <w:szCs w:val="20"/>
          <w:color w:val="auto"/>
        </w:rPr>
      </w:pPr>
    </w:p>
    <w:p>
      <w:pPr>
        <w:ind w:left="980" w:right="66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3.9 </w:t>
      </w:r>
      <w:hyperlink r:id="rId88">
        <w:r>
          <w:rPr>
            <w:rFonts w:ascii="Times New Roman" w:cs="Times New Roman" w:eastAsia="Times New Roman" w:hAnsi="Times New Roman"/>
            <w:sz w:val="18"/>
            <w:szCs w:val="18"/>
            <w:u w:val="single" w:color="auto"/>
            <w:color w:val="0000FF"/>
          </w:rPr>
          <w:t>Certificate of Vote(s) authorizing a decrease of class or series of any class of shares. (Incorporated by reference to Exhibit 3.3 to the</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FF"/>
          </w:rPr>
          <w:t>Company's Quarterly Report on Form 10-Q for the period ended July 2, 2000, File No 1-6682.)</w:t>
        </w:r>
      </w:hyperlink>
    </w:p>
    <w:p>
      <w:pPr>
        <w:spacing w:after="0" w:line="64" w:lineRule="exact"/>
        <w:rPr>
          <w:sz w:val="20"/>
          <w:szCs w:val="20"/>
          <w:color w:val="auto"/>
        </w:rPr>
      </w:pPr>
    </w:p>
    <w:p>
      <w:pPr>
        <w:ind w:left="980" w:right="4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 </w:t>
      </w:r>
      <w:hyperlink r:id="rId89">
        <w:r>
          <w:rPr>
            <w:rFonts w:ascii="Times New Roman" w:cs="Times New Roman" w:eastAsia="Times New Roman" w:hAnsi="Times New Roman"/>
            <w:sz w:val="18"/>
            <w:szCs w:val="18"/>
            <w:u w:val="single" w:color="auto"/>
            <w:color w:val="0000FF"/>
          </w:rPr>
          <w:t>Indenture, dated as of July 17, 1998, by and between the Company and The Bank of New York Mellon Trust Company, N.A. as successor</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Trustee to Citibank, N.A. as Trustee. (Incorporated by reference to Exhibit 4.1 to the Company's Current Report on Form 8-K dated July 14,</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1998, File No. 1-6682.)</w:t>
        </w:r>
      </w:hyperlink>
    </w:p>
    <w:p>
      <w:pPr>
        <w:spacing w:after="0" w:line="63" w:lineRule="exact"/>
        <w:rPr>
          <w:rFonts w:ascii="Times New Roman" w:cs="Times New Roman" w:eastAsia="Times New Roman" w:hAnsi="Times New Roman"/>
          <w:sz w:val="18"/>
          <w:szCs w:val="18"/>
          <w:color w:val="auto"/>
        </w:rPr>
      </w:pPr>
    </w:p>
    <w:p>
      <w:pPr>
        <w:ind w:left="980" w:right="4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 </w:t>
      </w:r>
      <w:hyperlink r:id="rId90">
        <w:r>
          <w:rPr>
            <w:rFonts w:ascii="Times New Roman" w:cs="Times New Roman" w:eastAsia="Times New Roman" w:hAnsi="Times New Roman"/>
            <w:sz w:val="18"/>
            <w:szCs w:val="18"/>
            <w:u w:val="single" w:color="auto"/>
            <w:color w:val="0000FF"/>
          </w:rPr>
          <w:t>Indenture, dated as of March 15, 2000, by and between the Company and The Bank of New York Mellon Trust Company, N.A. as successor</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Trustee to the Bank of Nova Scotia Trust Company of New York. (Incorporated by reference to Exhibit 4(b)(i) to the Company's Annual</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Report on Form 10-K for the fiscal year ended December 26, 1999, File No. 1-6682.)</w:t>
        </w:r>
      </w:hyperlink>
    </w:p>
    <w:p>
      <w:pPr>
        <w:spacing w:after="0" w:line="63" w:lineRule="exact"/>
        <w:rPr>
          <w:rFonts w:ascii="Times New Roman" w:cs="Times New Roman" w:eastAsia="Times New Roman" w:hAnsi="Times New Roman"/>
          <w:sz w:val="18"/>
          <w:szCs w:val="18"/>
          <w:color w:val="auto"/>
        </w:rPr>
      </w:pPr>
    </w:p>
    <w:p>
      <w:pPr>
        <w:ind w:left="980" w:right="18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 </w:t>
      </w:r>
      <w:hyperlink r:id="rId91">
        <w:r>
          <w:rPr>
            <w:rFonts w:ascii="Times New Roman" w:cs="Times New Roman" w:eastAsia="Times New Roman" w:hAnsi="Times New Roman"/>
            <w:sz w:val="18"/>
            <w:szCs w:val="18"/>
            <w:u w:val="single" w:color="auto"/>
            <w:color w:val="0000FF"/>
          </w:rPr>
          <w:t>First Supplemental Indenture, dated as of September 17, 2007, between the Company and The Bank of New York Mellon Trust Company,</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N.A. as successor Trustee to the Bank of Nova Scotia Trust Company of New York.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Company's Current Report on Form 8-K filed September 17, 2007, File No. 1-6682.)</w:t>
        </w:r>
      </w:hyperlink>
    </w:p>
    <w:p>
      <w:pPr>
        <w:spacing w:after="0" w:line="63" w:lineRule="exact"/>
        <w:rPr>
          <w:rFonts w:ascii="Times New Roman" w:cs="Times New Roman" w:eastAsia="Times New Roman" w:hAnsi="Times New Roman"/>
          <w:sz w:val="18"/>
          <w:szCs w:val="18"/>
          <w:color w:val="auto"/>
        </w:rPr>
      </w:pPr>
    </w:p>
    <w:p>
      <w:pPr>
        <w:ind w:left="980" w:right="4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4.4 </w:t>
      </w:r>
      <w:hyperlink r:id="rId92">
        <w:r>
          <w:rPr>
            <w:rFonts w:ascii="Times New Roman" w:cs="Times New Roman" w:eastAsia="Times New Roman" w:hAnsi="Times New Roman"/>
            <w:sz w:val="18"/>
            <w:szCs w:val="18"/>
            <w:u w:val="single" w:color="auto"/>
            <w:color w:val="0000FF"/>
          </w:rPr>
          <w:t>Second Supplemental Indenture, dated as of May 13, 2009, between the Company and The Bank of New York Mellon Trust Company, N.A.</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FF"/>
          </w:rPr>
          <w:t>as successor Trustee to the Bank of Nova Scotia Trust Company of New York.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Current Report on Form 8-K filed May 13, 2009, File No. 1-6682.)</w:t>
        </w:r>
      </w:hyperlink>
    </w:p>
    <w:p>
      <w:pPr>
        <w:spacing w:after="0" w:line="63" w:lineRule="exact"/>
        <w:rPr>
          <w:rFonts w:ascii="Times New Roman" w:cs="Times New Roman" w:eastAsia="Times New Roman" w:hAnsi="Times New Roman"/>
          <w:sz w:val="18"/>
          <w:szCs w:val="18"/>
          <w:color w:val="auto"/>
        </w:rPr>
      </w:pPr>
    </w:p>
    <w:p>
      <w:pPr>
        <w:ind w:left="980" w:right="2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4.5 </w:t>
      </w:r>
      <w:hyperlink r:id="rId93">
        <w:r>
          <w:rPr>
            <w:rFonts w:ascii="Times New Roman" w:cs="Times New Roman" w:eastAsia="Times New Roman" w:hAnsi="Times New Roman"/>
            <w:sz w:val="18"/>
            <w:szCs w:val="18"/>
            <w:u w:val="single" w:color="auto"/>
            <w:color w:val="0000FF"/>
          </w:rPr>
          <w:t>Third Supplemental Indenture, dated as of March 11, 2010, between the Company and The Bank of New York Mellon Trust Company, N.A.</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as successor Trustee to the Bank of Nova Scotia Trust Company of New York.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Current Report on Form 8-K filed March 11, 2010, File No. 1-6682.)</w:t>
        </w:r>
      </w:hyperlink>
    </w:p>
    <w:p>
      <w:pPr>
        <w:spacing w:after="0" w:line="63" w:lineRule="exact"/>
        <w:rPr>
          <w:rFonts w:ascii="Times New Roman" w:cs="Times New Roman" w:eastAsia="Times New Roman" w:hAnsi="Times New Roman"/>
          <w:sz w:val="18"/>
          <w:szCs w:val="18"/>
          <w:color w:val="auto"/>
        </w:rPr>
      </w:pPr>
    </w:p>
    <w:p>
      <w:pPr>
        <w:jc w:val="both"/>
        <w:ind w:left="980" w:right="28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4.6 </w:t>
      </w:r>
      <w:hyperlink r:id="rId94">
        <w:r>
          <w:rPr>
            <w:rFonts w:ascii="Times New Roman" w:cs="Times New Roman" w:eastAsia="Times New Roman" w:hAnsi="Times New Roman"/>
            <w:sz w:val="18"/>
            <w:szCs w:val="18"/>
            <w:u w:val="single" w:color="auto"/>
            <w:color w:val="0000FF"/>
          </w:rPr>
          <w:t>Fourth Supplemental Indenture, dated May 13, 2014, between the Company and The Bank of New York Mellon Trust Company, N.A. as</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successor Trustee to the Bank of Nova Scotia Trust Company of New York.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Current Report on Form 8-K filed May 13, 2014, file No. 1-6682.)</w:t>
        </w:r>
      </w:hyperlink>
    </w:p>
    <w:p>
      <w:pPr>
        <w:spacing w:after="0" w:line="63" w:lineRule="exact"/>
        <w:rPr>
          <w:rFonts w:ascii="Times New Roman" w:cs="Times New Roman" w:eastAsia="Times New Roman" w:hAnsi="Times New Roman"/>
          <w:sz w:val="18"/>
          <w:szCs w:val="18"/>
          <w:color w:val="auto"/>
        </w:rPr>
      </w:pPr>
    </w:p>
    <w:p>
      <w:pPr>
        <w:jc w:val="both"/>
        <w:ind w:left="980" w:right="16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4.7 </w:t>
      </w:r>
      <w:hyperlink r:id="rId95">
        <w:r>
          <w:rPr>
            <w:rFonts w:ascii="Times New Roman" w:cs="Times New Roman" w:eastAsia="Times New Roman" w:hAnsi="Times New Roman"/>
            <w:sz w:val="18"/>
            <w:szCs w:val="18"/>
            <w:u w:val="single" w:color="auto"/>
            <w:color w:val="0000FF"/>
          </w:rPr>
          <w:t>Fifth Supplemental Indenture, dated September 13, 2017, between the Company and The Bank of New York Mellon Trust Company, N.A.</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as successor Trustee to the Bank of Nova Scotia Trust Company of New York.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Current Report on Form 8-K filed September 13, 2017, file No. 1-6682.)</w:t>
        </w:r>
      </w:hyperlink>
    </w:p>
    <w:p>
      <w:pPr>
        <w:spacing w:after="0" w:line="63" w:lineRule="exact"/>
        <w:rPr>
          <w:rFonts w:ascii="Times New Roman" w:cs="Times New Roman" w:eastAsia="Times New Roman" w:hAnsi="Times New Roman"/>
          <w:sz w:val="18"/>
          <w:szCs w:val="18"/>
          <w:color w:val="auto"/>
        </w:rPr>
      </w:pPr>
    </w:p>
    <w:p>
      <w:pPr>
        <w:ind w:left="980" w:right="16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4.8 </w:t>
      </w:r>
      <w:hyperlink r:id="rId96">
        <w:r>
          <w:rPr>
            <w:rFonts w:ascii="Times New Roman" w:cs="Times New Roman" w:eastAsia="Times New Roman" w:hAnsi="Times New Roman"/>
            <w:sz w:val="18"/>
            <w:szCs w:val="18"/>
            <w:u w:val="single" w:color="auto"/>
            <w:color w:val="0000FF"/>
          </w:rPr>
          <w:t>Sixth Supplemental Indenture dated as of November 19, 2019, among the Company and The Bank of New York Mellon Trust Company,</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N.A. and U.S. Bank, National Association, supplementing the Indenture dated as of March 15, 2000. (Incorporated by reference to Exhibit</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1.2 to the Company’s Current Report on Form 8-K filed November 19, 2019, File No. 1-6682.)</w:t>
        </w:r>
      </w:hyperlink>
    </w:p>
    <w:p>
      <w:pPr>
        <w:spacing w:after="0" w:line="63" w:lineRule="exact"/>
        <w:rPr>
          <w:rFonts w:ascii="Times New Roman" w:cs="Times New Roman" w:eastAsia="Times New Roman" w:hAnsi="Times New Roman"/>
          <w:sz w:val="18"/>
          <w:szCs w:val="18"/>
          <w:color w:val="auto"/>
        </w:rPr>
      </w:pPr>
    </w:p>
    <w:p>
      <w:pPr>
        <w:ind w:left="980" w:right="360" w:hanging="529"/>
        <w:spacing w:after="0" w:line="23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Employment Agreement with Chris Cocks, dated January 5, 2022. (Incorporated by reference to Exhibit 10.1 to the Company’s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Report on Form 8-K filed with the SEC on January 7, 2022, File No. 1-6682.)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44" w:name="page45"/>
    <w:bookmarkEnd w:id="44"/>
    <w:p>
      <w:pPr>
        <w:ind w:left="980" w:right="60" w:hanging="529"/>
        <w:spacing w:after="0" w:line="237"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0000FF"/>
        </w:rPr>
        <w:t>Letter Agreement with Eric Nyman, dated January 5, 2022. (Incorporated by reference to Exhibit 10.2 to the Company’s Current Report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Form 8-K filed with the SEC on January 7, 2022, File No. 1-6682.)</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0000FF"/>
        </w:rPr>
        <w:t>Form of 2022 Stock Option Agreement under the Hasbro, Inc. Restated 2003 Stock Incentive Performance Plan.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0000FF"/>
        </w:rPr>
        <w:t>Form of 2022 Restricted Stock Unit Award under the Hasbro, Inc. Restated 2003 Stock Incentive Performance Plan.</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0000FF"/>
        </w:rPr>
        <w:t>Form of 2022 Contingent Stock Performance Award under the Hasbro, Inc. Restated 2003 Stock Incentive Performance Plan.</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0000FF"/>
        </w:rPr>
        <w:t>Form of 2022 Hasbro, Inc. Performance Rewards Program.</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the Interim Chief Executive Officer Pursuant to Rule 13a-14(a) under the Securities Exchange Act of 1934.</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Certification of the Chief Financial Officer Pursuant to Rule 13a-14(a) under the Securities Exchange Act of 1934.</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FF"/>
        </w:rPr>
        <w:t>Certification of the Interim Chief Executive Officer Pursuant to Rule 13a-14(b) under the Securities Exchange Act of 1934.</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FF"/>
        </w:rPr>
        <w:t>Certification of the Chief Financial Officer Pursuant to Rule 13a-14(b) under the Securities Exchange Act of 1934.</w:t>
      </w:r>
    </w:p>
    <w:p>
      <w:pPr>
        <w:spacing w:after="0" w:line="77" w:lineRule="exact"/>
        <w:rPr>
          <w:sz w:val="20"/>
          <w:szCs w:val="20"/>
          <w:color w:val="auto"/>
        </w:rPr>
      </w:pPr>
    </w:p>
    <w:p>
      <w:pPr>
        <w:ind w:left="980" w:hanging="640"/>
        <w:spacing w:after="0" w:line="237" w:lineRule="auto"/>
        <w:rPr>
          <w:sz w:val="20"/>
          <w:szCs w:val="20"/>
          <w:color w:val="auto"/>
        </w:rPr>
      </w:pPr>
      <w:r>
        <w:rPr>
          <w:rFonts w:ascii="Times New Roman" w:cs="Times New Roman" w:eastAsia="Times New Roman" w:hAnsi="Times New Roman"/>
          <w:sz w:val="18"/>
          <w:szCs w:val="18"/>
          <w:color w:val="auto"/>
        </w:rPr>
        <w:t>101.INS XBRL Instance Document - the instance document does not appear in the Interactive Data File because its XBRL tags are embedded within the Inline XBRL Document.</w:t>
      </w:r>
    </w:p>
    <w:p>
      <w:pPr>
        <w:spacing w:after="0" w:line="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101.LAB XBRL Taxonomy Extension Labels Linkbase Document</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101.DEF XBRL Taxonomy Extension Definition Linkbase Document</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Furnished herewith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Indicates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569595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26" w:right="51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18688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8"/>
          <w:szCs w:val="18"/>
          <w:color w:val="auto"/>
        </w:rPr>
        <w:t>Date: April 27, 2022</w:t>
      </w:r>
      <w:r>
        <w:rPr>
          <w:sz w:val="20"/>
          <w:szCs w:val="20"/>
          <w:color w:val="auto"/>
        </w:rPr>
        <w:tab/>
      </w:r>
      <w:r>
        <w:rPr>
          <w:rFonts w:ascii="Times New Roman" w:cs="Times New Roman" w:eastAsia="Times New Roman" w:hAnsi="Times New Roman"/>
          <w:sz w:val="17"/>
          <w:szCs w:val="17"/>
          <w:color w:val="auto"/>
        </w:rPr>
        <w:t>By: /s/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18688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Deborah Thomas</w:t>
      </w:r>
    </w:p>
    <w:p>
      <w:pPr>
        <w:spacing w:after="0" w:line="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674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6740"/>
        <w:spacing w:after="0" w:line="219" w:lineRule="auto"/>
        <w:rPr>
          <w:sz w:val="20"/>
          <w:szCs w:val="20"/>
          <w:color w:val="auto"/>
        </w:rPr>
      </w:pPr>
      <w:r>
        <w:rPr>
          <w:rFonts w:ascii="Times New Roman" w:cs="Times New Roman" w:eastAsia="Times New Roman" w:hAnsi="Times New Roman"/>
          <w:sz w:val="18"/>
          <w:szCs w:val="18"/>
          <w:color w:val="auto"/>
        </w:rPr>
        <w:t>(Duly Authorized Officer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00"/>
          </w:cols>
          <w:pgMar w:left="320" w:top="945" w:right="3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EMPLOYMENT AGREEMENT</w:t>
      </w:r>
    </w:p>
    <w:p>
      <w:pPr>
        <w:spacing w:after="0" w:line="173" w:lineRule="exact"/>
        <w:rPr>
          <w:sz w:val="20"/>
          <w:szCs w:val="20"/>
          <w:color w:val="auto"/>
        </w:rPr>
      </w:pPr>
    </w:p>
    <w:p>
      <w:pPr>
        <w:ind w:right="60" w:firstLine="648"/>
        <w:spacing w:after="0" w:line="207" w:lineRule="auto"/>
        <w:rPr>
          <w:sz w:val="20"/>
          <w:szCs w:val="20"/>
          <w:color w:val="auto"/>
        </w:rPr>
      </w:pPr>
      <w:r>
        <w:rPr>
          <w:rFonts w:ascii="Times New Roman" w:cs="Times New Roman" w:eastAsia="Times New Roman" w:hAnsi="Times New Roman"/>
          <w:sz w:val="22"/>
          <w:szCs w:val="22"/>
          <w:color w:val="auto"/>
        </w:rPr>
        <w:t>This Employment Agreement (the “Agreement”), made effective as of January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2022 (the “Effective Date”), is entered into by and between Hasbro, Inc., a Rhode Island corporation with a principal place of business at 1011 Newport Avenue, Pawtucket, Rhode Island 02861 (together with its subsidiaries, the “Company” or “Hasbro”), and Christian (Chris) Page Cocks (the “Executive”).</w:t>
      </w:r>
    </w:p>
    <w:p>
      <w:pPr>
        <w:spacing w:after="0" w:line="153"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WHEREAS, the Executive currently serves as President and Chief Operating Officer of Wizards of the Coast and Digital Gaming;</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Wizards of the Coast is a subsidiary of the Company;</w:t>
      </w:r>
    </w:p>
    <w:p>
      <w:pPr>
        <w:spacing w:after="0" w:line="179"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WHEREAS, the Company desires to promote the Executive to Chief Executive Officer of the Company, such promotion to take effect on February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2022, pursuant to the terms and conditions set forth in this Agreement; and</w:t>
      </w:r>
    </w:p>
    <w:p>
      <w:pPr>
        <w:spacing w:after="0" w:line="58" w:lineRule="exact"/>
        <w:rPr>
          <w:sz w:val="20"/>
          <w:szCs w:val="20"/>
          <w:color w:val="auto"/>
        </w:rPr>
      </w:pPr>
    </w:p>
    <w:p>
      <w:pPr>
        <w:ind w:right="300" w:firstLine="648"/>
        <w:spacing w:after="0" w:line="210" w:lineRule="auto"/>
        <w:rPr>
          <w:sz w:val="20"/>
          <w:szCs w:val="20"/>
          <w:color w:val="auto"/>
        </w:rPr>
      </w:pPr>
      <w:r>
        <w:rPr>
          <w:rFonts w:ascii="Times New Roman" w:cs="Times New Roman" w:eastAsia="Times New Roman" w:hAnsi="Times New Roman"/>
          <w:sz w:val="22"/>
          <w:szCs w:val="22"/>
          <w:color w:val="auto"/>
        </w:rPr>
        <w:t>WHEREAS, the Executive desires to serve as Chief Executive Officer of the Company, beginning February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2022, pursuant to the terms and conditions hereof.</w:t>
      </w:r>
    </w:p>
    <w:p>
      <w:pPr>
        <w:spacing w:after="0" w:line="151" w:lineRule="exact"/>
        <w:rPr>
          <w:sz w:val="20"/>
          <w:szCs w:val="20"/>
          <w:color w:val="auto"/>
        </w:rPr>
      </w:pPr>
    </w:p>
    <w:p>
      <w:pPr>
        <w:jc w:val="both"/>
        <w:ind w:right="60"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promotion and continued employment of the Executive, and for other good and valuable consideration, the receipt and sufficiency of which are hereby acknowledged, the Company and the Executive agree as follows:</w:t>
      </w:r>
    </w:p>
    <w:p>
      <w:pPr>
        <w:spacing w:after="0" w:line="147" w:lineRule="exact"/>
        <w:rPr>
          <w:sz w:val="20"/>
          <w:szCs w:val="20"/>
          <w:color w:val="auto"/>
        </w:rPr>
      </w:pPr>
    </w:p>
    <w:p>
      <w:pPr>
        <w:ind w:right="40" w:firstLine="656"/>
        <w:spacing w:after="0" w:line="200" w:lineRule="auto"/>
        <w:tabs>
          <w:tab w:leader="none" w:pos="12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From January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2022 through and including February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2022 (the “Transition Period”), the Executive will continue to serve as President and Chief Operating Officer of Wizards of the Coast and Digital Gaming. During this period, the Executive will also work closely with the Company’s Board of Directors (the “Board”), the Company’s Interim Chief Executive Officer (Richard Stoddart), and the other members of management to prepare to transition into the role of Chief Executive Officer of the Company. The terms and conditions of the Executive’s employment, including his benefits and compensation and any severance to which he would be entitled, during the Transition Period will remain the same as they were immediately prior to this Agreement, with the exception that the Executive will be expected to spend the majority of his time following January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2022 at the Company’s corporate offices in Pawtucket, Rhode Island preparing to assume the role of Chief Executive Officer.</w:t>
      </w:r>
    </w:p>
    <w:p>
      <w:pPr>
        <w:spacing w:after="0" w:line="153" w:lineRule="exact"/>
        <w:rPr>
          <w:rFonts w:ascii="Times New Roman" w:cs="Times New Roman" w:eastAsia="Times New Roman" w:hAnsi="Times New Roman"/>
          <w:sz w:val="22"/>
          <w:szCs w:val="22"/>
          <w:color w:val="auto"/>
        </w:rPr>
      </w:pPr>
    </w:p>
    <w:p>
      <w:pPr>
        <w:ind w:right="160" w:firstLine="656"/>
        <w:spacing w:after="0" w:line="215" w:lineRule="auto"/>
        <w:tabs>
          <w:tab w:leader="none" w:pos="129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Employment as Chief Executive Officer</w:t>
      </w:r>
      <w:r>
        <w:rPr>
          <w:rFonts w:ascii="Times New Roman" w:cs="Times New Roman" w:eastAsia="Times New Roman" w:hAnsi="Times New Roman"/>
          <w:sz w:val="21"/>
          <w:szCs w:val="21"/>
          <w:color w:val="auto"/>
        </w:rPr>
        <w:t>. The Company agrees to employ the Executive as Chief Executive Officer, and the Executive hereby accepts employment with the Company as Chief Executive Officer, upon the terms set forth in this Agreement, for the period commencing on February 25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2022 (the “Commencement Date”) and ending on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2024, or such later date following a Change in Control as is set forth in the following sentence (the “End Date”), unless earlier terminated or extended pursuant to the provisions of Section 5 (such period, the “Employment Period”). Notwithstanding the foregoing, upon a Change in Control during the Employment Period, the End Date shall immediately and</w:t>
      </w:r>
    </w:p>
    <w:p>
      <w:pPr>
        <w:sectPr>
          <w:pgSz w:w="11900" w:h="16838" w:orient="portrait"/>
          <w:cols w:equalWidth="0" w:num="1">
            <w:col w:w="11240"/>
          </w:cols>
          <w:pgMar w:left="320" w:top="1395" w:right="339" w:bottom="1440" w:gutter="0" w:footer="0" w:header="0"/>
        </w:sectPr>
      </w:pPr>
    </w:p>
    <w:bookmarkStart w:id="47" w:name="page48"/>
    <w:bookmarkEnd w:id="47"/>
    <w:p>
      <w:pPr>
        <w:ind w:right="20"/>
        <w:spacing w:after="0" w:line="225" w:lineRule="auto"/>
        <w:rPr>
          <w:sz w:val="20"/>
          <w:szCs w:val="20"/>
          <w:color w:val="auto"/>
        </w:rPr>
      </w:pPr>
      <w:r>
        <w:rPr>
          <w:rFonts w:ascii="Times New Roman" w:cs="Times New Roman" w:eastAsia="Times New Roman" w:hAnsi="Times New Roman"/>
          <w:sz w:val="22"/>
          <w:szCs w:val="22"/>
          <w:color w:val="auto"/>
        </w:rPr>
        <w:t>automatically extend to the date that is the second anniversary of the date of the consummation of the Change in Control, and the Employment Period shall be extended accordingly. Following the Commencement Date, Executive will transition his prior responsibilities as President and Chief Operating Officer of Wizards of the Coast and Digital Gaming to another executive.</w:t>
      </w:r>
    </w:p>
    <w:p>
      <w:pPr>
        <w:spacing w:after="0" w:line="153"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Capacity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80" w:firstLine="1296"/>
        <w:spacing w:after="0" w:line="231" w:lineRule="auto"/>
        <w:rPr>
          <w:sz w:val="20"/>
          <w:szCs w:val="20"/>
          <w:color w:val="auto"/>
        </w:rPr>
      </w:pPr>
      <w:r>
        <w:rPr>
          <w:rFonts w:ascii="Times New Roman" w:cs="Times New Roman" w:eastAsia="Times New Roman" w:hAnsi="Times New Roman"/>
          <w:sz w:val="21"/>
          <w:szCs w:val="21"/>
          <w:color w:val="auto"/>
        </w:rPr>
        <w:t>1.1 During the Employment Period, the Executive shall serve as the Company’s Chief Executive Officer. The Executive shall be based at the corporate headquarters of the Company in Pawtucket, Rhode Island, provided that the Executive will be required to undertake reasonable travel to other Company offices in connection with his duties, with any related business air travel to be in the highest class available on the applicable aircraft, subject to reimbursement in accordance with Section 4.5.</w:t>
      </w:r>
    </w:p>
    <w:p>
      <w:pPr>
        <w:spacing w:after="0" w:line="150" w:lineRule="exact"/>
        <w:rPr>
          <w:sz w:val="20"/>
          <w:szCs w:val="20"/>
          <w:color w:val="auto"/>
        </w:rPr>
      </w:pPr>
    </w:p>
    <w:p>
      <w:pPr>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1.2 The Executive shall report directly to, and be subject to the supervision of the Board, and shall have such authority as is delegated to the Executive by the Board. Effective as of the Commencement Date, the Executive will be appointed to serve as a member of the Board. During the Employment Period, the Company will continue to nominate the Executive to be elected as a member of the Board. The Executive hereby accepts employment as Chief Executive Officer and agrees to undertake the duties and responsibilities inherent in such position and such other duties and responsibilities as the Board shall from time to time reasonably assign to the Executive. The Executive agrees to devote his entire business time, attention and energies to the business and interests of the Company during the Employment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herein shall preclude Executive, in each case to the extent that such activities do not materially interfere with the performance of the Executive’s duties under this Agreement and are not otherwise in conflict with the reasonable business interests of Hasbro, from (x) managing Executive’s personal and family investments and affairs, (y) engaging in charitable activities and community affairs, and (z) subject to the prior approval of the Board (which approval shall not be unreasonably withheld) and compliance with any applicable Company policies for outside Board memberships, such as the Company’s overboarding policy, accepting appointment to or continuing to serve on any board of directors or trustees of any business, corporation, or charitable organization. The Executive agrees to abide by the rules, regulations, instructions, personnel practices and policies of the Company and any changes therein which may be adopted from time to time by the Company to the extent provided to the Executive or the Executive is otherwise made aware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40"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Beginning on the Commencement Date, the Company shall pay the Executive, in periodic installments in accordance with the Company’s customary payroll practices, a base salary at the annualized rate of $1,500,000 (the “Base Salary”). The Executive’s base salary shall be reviewed periodically in accordance with the Company’s compensation guidelines for senior executives, and may be upwardly adjusted to the extent, if any, deemed appropriate by Hasbro’s Compensation Committee of the Board (the “Compensation Committee”) and the full Board; provided, however, that the Executive’s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395" w:right="399" w:bottom="1440" w:gutter="0" w:footer="0" w:header="0"/>
        </w:sectPr>
      </w:pPr>
    </w:p>
    <w:bookmarkStart w:id="48" w:name="page49"/>
    <w:bookmarkEnd w:id="48"/>
    <w:p>
      <w:pPr>
        <w:ind w:right="460"/>
        <w:spacing w:after="0" w:line="236" w:lineRule="auto"/>
        <w:rPr>
          <w:sz w:val="20"/>
          <w:szCs w:val="20"/>
          <w:color w:val="auto"/>
        </w:rPr>
      </w:pPr>
      <w:r>
        <w:rPr>
          <w:rFonts w:ascii="Times New Roman" w:cs="Times New Roman" w:eastAsia="Times New Roman" w:hAnsi="Times New Roman"/>
          <w:sz w:val="22"/>
          <w:szCs w:val="22"/>
          <w:color w:val="auto"/>
        </w:rPr>
        <w:t>Salary may be reduced proportionally if in connection with a generally applicable reduction in the compensation of all of the Company’s senior executives.</w:t>
      </w:r>
    </w:p>
    <w:p>
      <w:pPr>
        <w:spacing w:after="0" w:line="150" w:lineRule="exact"/>
        <w:rPr>
          <w:sz w:val="20"/>
          <w:szCs w:val="20"/>
          <w:color w:val="auto"/>
        </w:rPr>
      </w:pPr>
    </w:p>
    <w:p>
      <w:pPr>
        <w:ind w:right="20" w:firstLine="1296"/>
        <w:spacing w:after="0" w:line="209"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Management Incentive Plan Bonus</w:t>
      </w:r>
      <w:r>
        <w:rPr>
          <w:rFonts w:ascii="Times New Roman" w:cs="Times New Roman" w:eastAsia="Times New Roman" w:hAnsi="Times New Roman"/>
          <w:sz w:val="22"/>
          <w:szCs w:val="22"/>
          <w:color w:val="auto"/>
        </w:rPr>
        <w:t>. Beginning with the Company’s 2022 fiscal year, the Executive shall be eligible to receive an annual management incentive plan bonus based on a target of one hundred and fifty percent (150%) (“Target Bonus”) of the Executive’s earned Base Salary for the incentive year (the “Annual Bonus”), subject to the performance criteria set forth below. For each fiscal year thereafter that this Agreement is in effect, the Executive’s target bonus shall be reviewed periodically in accordance with the Company’s compensation philosophy, market conditions and other factors deemed relevant by the Compensation Committee, and upwardly adjusted to the extent, if any, deemed appropriate by the Compensation Committee and the Board; provided, however, that the Executive’s Target Bonus may be reduced proportionally if in connection with a generally applicable reduction in the target bonuses of all of the Company’s senior executives. The corporate performance criteria and targets to be used for purposes of the annual management incentive plan (the “Annual Performance Plan”) bonus shall be determined and established by the Compensation Committee and the Board and shall be substantially the same as similarly situated senior executives of the Company, recognizing the Executive will also have individual performance objectives determined and established by the Compensation Committee and the Board which may be unique to the Executive. Actual bonus awards shall be determined in the discretion of the Compensation Committee pursuant to the terms of the Company’s Annual Performance Plan that is applicable to the Executive.</w:t>
      </w:r>
    </w:p>
    <w:p>
      <w:pPr>
        <w:spacing w:after="0" w:line="156" w:lineRule="exact"/>
        <w:rPr>
          <w:sz w:val="20"/>
          <w:szCs w:val="20"/>
          <w:color w:val="auto"/>
        </w:rPr>
      </w:pPr>
    </w:p>
    <w:p>
      <w:pPr>
        <w:ind w:firstLine="1296"/>
        <w:spacing w:after="0" w:line="220"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Long-Term Incentive</w:t>
      </w:r>
      <w:r>
        <w:rPr>
          <w:rFonts w:ascii="Times New Roman" w:cs="Times New Roman" w:eastAsia="Times New Roman" w:hAnsi="Times New Roman"/>
          <w:sz w:val="21"/>
          <w:szCs w:val="21"/>
          <w:color w:val="auto"/>
        </w:rPr>
        <w:t>. The Executive shall participate in the Company’s long-term incentive program and shall, beginning in the Company’s 2022 fiscal year (with such grant anticipated to be made in February of 2022), have a target annual long-term incentive award level equal to five-hundred percent (500%) of his Base Salary, with awards to be made in the form and amounts determined by the Compensation Committee, which may include stock options, restricted stock units and/or performance share awards, and/or other types of awards. The forms and amounts of such awards may be substantially in the same proportion as awards made to other senior executives of the Company, or the mix of awards may be unique to the Executive as Chief Executive Officer, in the discretion of the Compensation Committee and the Board. For each fiscal year after 2022 that this Agreement remains in effect, the Executive’s target long-term incentive award levels shall be reviewed periodically in accordance with the Company’s compensation philosophy, market conditions and other factors deemed relevant by the Compensation Committee, and upwardly adjusted to the extent, if any, deemed appropriate by the Compensation Committee and the Board; provided, however, that the Executive’s target long-term incentive award level may be reduced proportionally if in connection with a generally applicable reduction in the target long-term incentive award levels of all of Hasbro’s senior executives.</w:t>
      </w:r>
    </w:p>
    <w:p>
      <w:pPr>
        <w:spacing w:after="0" w:line="152"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The Executive shall be entitled to participate in all benefit programs that the Company establishes and makes available to its senior executives to the extent that the Executive’s position, tenure, salary and other qualifications make the Executive eligible to participate therein, including but not limited to the Company’s group life insurance, short and long term disability insurance, vacation, medical, dental, defined contribution and deferred compensation programs for salaried executives, as in effect from time-to-time. The Executive shall be entitled to indemnification for liabilities arising from or incurred in connection with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49" w:name="page50"/>
    <w:bookmarkEnd w:id="49"/>
    <w:p>
      <w:pPr>
        <w:spacing w:after="0" w:line="236" w:lineRule="auto"/>
        <w:rPr>
          <w:sz w:val="20"/>
          <w:szCs w:val="20"/>
          <w:color w:val="auto"/>
        </w:rPr>
      </w:pPr>
      <w:r>
        <w:rPr>
          <w:rFonts w:ascii="Times New Roman" w:cs="Times New Roman" w:eastAsia="Times New Roman" w:hAnsi="Times New Roman"/>
          <w:sz w:val="22"/>
          <w:szCs w:val="22"/>
          <w:color w:val="auto"/>
        </w:rPr>
        <w:t>performance of services for the Company that is no less favorable than the indemnification provided to any other senior executive of the Company.</w:t>
      </w:r>
    </w:p>
    <w:p>
      <w:pPr>
        <w:spacing w:after="0" w:line="150" w:lineRule="exact"/>
        <w:rPr>
          <w:sz w:val="20"/>
          <w:szCs w:val="20"/>
          <w:color w:val="auto"/>
        </w:rPr>
      </w:pPr>
    </w:p>
    <w:p>
      <w:pPr>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Reimbursement of Expenses</w:t>
      </w:r>
      <w:r>
        <w:rPr>
          <w:rFonts w:ascii="Times New Roman" w:cs="Times New Roman" w:eastAsia="Times New Roman" w:hAnsi="Times New Roman"/>
          <w:sz w:val="22"/>
          <w:szCs w:val="22"/>
          <w:color w:val="auto"/>
        </w:rPr>
        <w:t>. The Company shall reimburse the Executive for all reasonable travel, entertainment and other expenses incurred or paid by the Executive in connection with, or related to, the performance of his duties and responsibilities under this Agreement, in accordance with the policies and procedures, and subject to the limitations, adopted by the Company from time to time. The Company shall reimburse the Executive for up to $125,000 in aggregate per year for each of calendar years 2022 and 2023 for personal travel expenses incurred by the Executive or members of his family for travel between Washington State and New England. The Company shall reimburse the Executive for up to $40,000 USD in the aggregate for documented legal fees expended or incurred by the Executive through the Effective Date in connection with negotiating the terms of this Agreement, payable within 60 days of the Executive’s submission of reasonably satisfactory documentation of such fees. In addition to the above reimbursement for fees associated with the negotiation of this Agreement, the Executive shall be entitled, upon presentation of documentation reasonably satisfactory to the Company, to reimbursement of up to $25,000 per fiscal year in accounting, tax or other legal fees actually incurred by him in connection with his employment by the Company.</w:t>
      </w:r>
    </w:p>
    <w:p>
      <w:pPr>
        <w:spacing w:after="0" w:line="152" w:lineRule="exact"/>
        <w:rPr>
          <w:sz w:val="20"/>
          <w:szCs w:val="20"/>
          <w:color w:val="auto"/>
        </w:rPr>
      </w:pPr>
    </w:p>
    <w:p>
      <w:pPr>
        <w:ind w:right="12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Executive understands and agrees that all incentive compensation to which he is or becomes entitled shall be subject to the terms of any clawback policy that may be adopted by the Board from time to time for application to the senior executives of the Company (the “Clawback Policy”). For the avoidance of doubt, the Executive shall be covered by the Clawback Policy only if and to the extent other senior executives are also covered by such policy.</w:t>
      </w:r>
    </w:p>
    <w:p>
      <w:pPr>
        <w:spacing w:after="0" w:line="13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All compensation payable to the Executive shall be subject to applicable taxes and</w:t>
      </w:r>
    </w:p>
    <w:p>
      <w:pPr>
        <w:spacing w:after="0"/>
        <w:rPr>
          <w:sz w:val="20"/>
          <w:szCs w:val="20"/>
          <w:color w:val="auto"/>
        </w:rPr>
      </w:pPr>
      <w:r>
        <w:rPr>
          <w:rFonts w:ascii="Times New Roman" w:cs="Times New Roman" w:eastAsia="Times New Roman" w:hAnsi="Times New Roman"/>
          <w:sz w:val="22"/>
          <w:szCs w:val="22"/>
          <w:color w:val="auto"/>
        </w:rPr>
        <w:t>withholding.</w:t>
      </w:r>
    </w:p>
    <w:p>
      <w:pPr>
        <w:spacing w:after="0" w:line="155" w:lineRule="exact"/>
        <w:rPr>
          <w:sz w:val="20"/>
          <w:szCs w:val="20"/>
          <w:color w:val="auto"/>
        </w:rPr>
      </w:pPr>
    </w:p>
    <w:p>
      <w:pPr>
        <w:ind w:right="260" w:firstLine="656"/>
        <w:spacing w:after="0" w:line="236" w:lineRule="auto"/>
        <w:tabs>
          <w:tab w:leader="none" w:pos="12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Period</w:t>
      </w:r>
      <w:r>
        <w:rPr>
          <w:rFonts w:ascii="Times New Roman" w:cs="Times New Roman" w:eastAsia="Times New Roman" w:hAnsi="Times New Roman"/>
          <w:sz w:val="22"/>
          <w:szCs w:val="22"/>
          <w:color w:val="auto"/>
        </w:rPr>
        <w:t>. This Agreement and the employment of the Executive shall terminate upon the occurrence of any of the following:</w:t>
      </w:r>
    </w:p>
    <w:p>
      <w:pPr>
        <w:spacing w:after="0" w:line="15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Expiration of the Employment Period;</w:t>
      </w:r>
    </w:p>
    <w:p>
      <w:pPr>
        <w:spacing w:after="0" w:line="179" w:lineRule="exact"/>
        <w:rPr>
          <w:sz w:val="20"/>
          <w:szCs w:val="20"/>
          <w:color w:val="auto"/>
        </w:rPr>
      </w:pPr>
    </w:p>
    <w:p>
      <w:pPr>
        <w:ind w:right="520" w:firstLine="1296"/>
        <w:spacing w:after="0" w:line="236" w:lineRule="auto"/>
        <w:rPr>
          <w:sz w:val="20"/>
          <w:szCs w:val="20"/>
          <w:color w:val="auto"/>
        </w:rPr>
      </w:pPr>
      <w:r>
        <w:rPr>
          <w:rFonts w:ascii="Times New Roman" w:cs="Times New Roman" w:eastAsia="Times New Roman" w:hAnsi="Times New Roman"/>
          <w:sz w:val="22"/>
          <w:szCs w:val="22"/>
          <w:color w:val="auto"/>
        </w:rPr>
        <w:t>1.2 At the election of the Company for Cause (as defined below), immediately upon written notice by the Company to the Executive, which notice shall identify the Cause upon which the termination is based;</w:t>
      </w:r>
    </w:p>
    <w:p>
      <w:pPr>
        <w:spacing w:after="0" w:line="13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At the election of the Executive for Good Reason (as defined below), pursuant to the provisions set forth</w:t>
      </w: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5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Upon the death or Disability (as defined below) of the Executive;</w:t>
      </w:r>
    </w:p>
    <w:p>
      <w:pPr>
        <w:spacing w:after="0" w:line="179" w:lineRule="exact"/>
        <w:rPr>
          <w:sz w:val="20"/>
          <w:szCs w:val="20"/>
          <w:color w:val="auto"/>
        </w:rPr>
      </w:pPr>
    </w:p>
    <w:p>
      <w:pPr>
        <w:ind w:right="100" w:firstLine="1296"/>
        <w:spacing w:after="0" w:line="217" w:lineRule="auto"/>
        <w:rPr>
          <w:sz w:val="20"/>
          <w:szCs w:val="20"/>
          <w:color w:val="auto"/>
        </w:rPr>
      </w:pPr>
      <w:r>
        <w:rPr>
          <w:rFonts w:ascii="Times New Roman" w:cs="Times New Roman" w:eastAsia="Times New Roman" w:hAnsi="Times New Roman"/>
          <w:sz w:val="22"/>
          <w:szCs w:val="22"/>
          <w:color w:val="auto"/>
        </w:rPr>
        <w:t>1.5 At the election of the Company without Cause, upon not less than fifteen (15) days’ prior written notice of termination (the “Notice Period”), provided, however, that the Company may, in its sole discretion, in lieu of all or part of the Notice Period, pay the Executive an amount equal to the portion of the Base Salary that would otherwise have been payable to the Executive had the Executive remained employed for the duration of the Notice Period (in which case the Executive’s termination will become effective on the date set forth in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50" w:name="page51"/>
    <w:bookmarkEnd w:id="50"/>
    <w:p>
      <w:pPr>
        <w:spacing w:after="0" w:line="224" w:lineRule="auto"/>
        <w:rPr>
          <w:sz w:val="20"/>
          <w:szCs w:val="20"/>
          <w:color w:val="auto"/>
        </w:rPr>
      </w:pPr>
      <w:r>
        <w:rPr>
          <w:rFonts w:ascii="Times New Roman" w:cs="Times New Roman" w:eastAsia="Times New Roman" w:hAnsi="Times New Roman"/>
          <w:sz w:val="22"/>
          <w:szCs w:val="22"/>
          <w:color w:val="auto"/>
        </w:rPr>
        <w:t>written notice of termination (the “Early Termination Date”), and the Executive will be paid an amount equal to the portion of the Base Salary the Executive would have received had the Executive remained employed by the Company between the Early Termination Date and the end of the Notice Period (the “Early Termination Payment”), with the Early Termination Payment to be made no later than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end of the Notice Period); or</w:t>
      </w:r>
    </w:p>
    <w:p>
      <w:pPr>
        <w:spacing w:after="0" w:line="71" w:lineRule="exact"/>
        <w:rPr>
          <w:sz w:val="20"/>
          <w:szCs w:val="20"/>
          <w:color w:val="auto"/>
        </w:rPr>
      </w:pPr>
    </w:p>
    <w:p>
      <w:pPr>
        <w:ind w:right="220" w:firstLine="1296"/>
        <w:spacing w:after="0" w:line="236" w:lineRule="auto"/>
        <w:rPr>
          <w:sz w:val="20"/>
          <w:szCs w:val="20"/>
          <w:color w:val="auto"/>
        </w:rPr>
      </w:pPr>
      <w:r>
        <w:rPr>
          <w:rFonts w:ascii="Times New Roman" w:cs="Times New Roman" w:eastAsia="Times New Roman" w:hAnsi="Times New Roman"/>
          <w:sz w:val="22"/>
          <w:szCs w:val="22"/>
          <w:color w:val="auto"/>
        </w:rPr>
        <w:t>1.6 At the election of the Executive without Good Reason, upon not less than fifteen (15) days’ prior written notice of termination by the Executive.</w:t>
      </w:r>
    </w:p>
    <w:p>
      <w:pPr>
        <w:spacing w:after="0" w:line="150"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60" w:firstLine="1296"/>
        <w:spacing w:after="0" w:line="224"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Any Termination</w:t>
      </w:r>
      <w:r>
        <w:rPr>
          <w:rFonts w:ascii="Times New Roman" w:cs="Times New Roman" w:eastAsia="Times New Roman" w:hAnsi="Times New Roman"/>
          <w:sz w:val="21"/>
          <w:szCs w:val="21"/>
          <w:color w:val="auto"/>
        </w:rPr>
        <w:t>. For any termination of employment, the Executive shall be paid (a) any amount of the Base Salary for service already rendered to the Company, to the extent not already paid, (b) accrued but unused vacation and other paid time off not taken as of the Date of Termination, (c) any accrued amounts under any other plans or programs as of the Date of Termination, and (d) the applicable annual bonus for the most recently completed fiscal year in the Employment Period, to the extent not already paid (regardless of whether such annual bonus has been determined as of the Date of Termination), which bonus will be determined by the Compensation Committee and the Board in accordance with the terms of the bonus plan. In addition, the Executive shall receive any applicable payments or benefits set forth in the following sections of this Agreement.</w:t>
      </w:r>
    </w:p>
    <w:p>
      <w:pPr>
        <w:spacing w:after="0" w:line="150" w:lineRule="exact"/>
        <w:rPr>
          <w:sz w:val="20"/>
          <w:szCs w:val="20"/>
          <w:color w:val="auto"/>
        </w:rPr>
      </w:pPr>
    </w:p>
    <w:p>
      <w:pPr>
        <w:ind w:right="20" w:firstLine="1296"/>
        <w:spacing w:after="0" w:line="217"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Termination by the Company Without Cause or by the Executive for Good Reason Within 24 Months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Following a Change in Control</w:t>
      </w:r>
      <w:r>
        <w:rPr>
          <w:rFonts w:ascii="Times New Roman" w:cs="Times New Roman" w:eastAsia="Times New Roman" w:hAnsi="Times New Roman"/>
          <w:sz w:val="22"/>
          <w:szCs w:val="22"/>
          <w:color w:val="auto"/>
        </w:rPr>
        <w:t>. If, within twenty-four (24) months following a Change in Control (as defined below), either the Executive’s employment is terminated by the Company without Cause (other than due to his Disability or death) or the Executive resigns for Good Reason, then, following the Executive’s date of termination (the “Date of Termination”) and subject to the conditions of Section 7 and in accordance with the timing and payment terms set forth in Section 7:</w:t>
      </w:r>
    </w:p>
    <w:p>
      <w:pPr>
        <w:spacing w:after="0" w:line="152" w:lineRule="exact"/>
        <w:rPr>
          <w:sz w:val="20"/>
          <w:szCs w:val="20"/>
          <w:color w:val="auto"/>
        </w:rPr>
      </w:pPr>
    </w:p>
    <w:p>
      <w:pPr>
        <w:ind w:right="480" w:firstLine="1304"/>
        <w:spacing w:after="0" w:line="236"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on the Payment Commencement Date (as defined below), pay to the Executive an amount equal to two (2) times the Executive’s then current Base Salary as severance;</w:t>
      </w:r>
    </w:p>
    <w:p>
      <w:pPr>
        <w:spacing w:after="0" w:line="150" w:lineRule="exact"/>
        <w:rPr>
          <w:rFonts w:ascii="Times New Roman" w:cs="Times New Roman" w:eastAsia="Times New Roman" w:hAnsi="Times New Roman"/>
          <w:sz w:val="22"/>
          <w:szCs w:val="22"/>
          <w:color w:val="auto"/>
        </w:rPr>
      </w:pPr>
    </w:p>
    <w:p>
      <w:pPr>
        <w:ind w:right="300" w:firstLine="1304"/>
        <w:spacing w:after="0" w:line="236"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on the Payment Commencement Date, pay to the Executive an amount equal to two times the Executive’s Target Bonus;</w:t>
      </w:r>
    </w:p>
    <w:p>
      <w:pPr>
        <w:spacing w:after="0" w:line="150" w:lineRule="exact"/>
        <w:rPr>
          <w:rFonts w:ascii="Times New Roman" w:cs="Times New Roman" w:eastAsia="Times New Roman" w:hAnsi="Times New Roman"/>
          <w:sz w:val="22"/>
          <w:szCs w:val="22"/>
          <w:color w:val="auto"/>
        </w:rPr>
      </w:pPr>
    </w:p>
    <w:p>
      <w:pPr>
        <w:ind w:right="120" w:firstLine="1304"/>
        <w:spacing w:after="0" w:line="205"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is eligible for and timely elects to continue receiving group medical and/or dental insurance under the continuation coverage rules known as COBRA, the Company will continue to pay the share of the premium for such coverage that it pays for active and similarly-situated employees who receive the same type of coverage (single, family, or other) until the earlier of (x) the end of the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month after the Date of Termination, (y) the date the covered individual’s COBRA continuation coverage expires, unless, as a result of a change in legal requirements, the Company’s provision of payments for COBRA will violate the nondiscrimination requirements of applicable law, in which case this benefit will be adjusted to provide for cash payments that would put the Executive in the same position as if he received the benefits contemplated hereunder and (z) the date the Executive commences new employment and is eligible for medical and dental benefits through his new employer;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395" w:right="359" w:bottom="1440" w:gutter="0" w:footer="0" w:header="0"/>
        </w:sectPr>
      </w:pPr>
    </w:p>
    <w:bookmarkStart w:id="51" w:name="page52"/>
    <w:bookmarkEnd w:id="51"/>
    <w:p>
      <w:pPr>
        <w:ind w:firstLine="1304"/>
        <w:spacing w:after="0" w:line="205"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acceleration of vesting of, and lapse of restrictions on, all unexpired, unvested stock options and time-based restricted stock units, such that said stock options and restricted stock units shall become fully vested as of the Date of Termination, except as otherwise provided in the terms of such Awards (as defined below). In addition, to the extent the Executive is the holder of any contingent performance share awards (or other performance-based equity awards), he shall be entitled to the number of shares of common stock, if any, that would have been earned had the Executive’s employment not ended based on assumed achievement of the applicable targets at 100% of the target level during the full relevant Performance Period (as defined under the Award). For a termination governed under this Section 6.2 there shall not be any pro-ration to reflect that the full Performance Period was not completed prior to the Date of Termination. All such options, restricted stock units and performance share awards (or other performance-based equity awards) are collectively referred to as “Awards”. Any shares, or cash in lieu thereof (as determined by the Administrator under the Equity Plan (as defined below)), to be distributed pursuant to an Award in accordance with this Section 6.2(d) shall be provided to the Executive in a manner set forth under the terms of the 2003 Stock Incentive Performance Plan as such terms exist on the Effective Date, or any successor plan governing future equity awards (together the “Equity Plan”), provided such terms are as favorable to the Executive as the terms currently set forth in the Equity Plan as such terms exist on the Effective Date. The Executive may not exercise or dispose of any portion of an Award or related shares of common stock or cash in lieu thereof that vest or become exercisable under this Section 6.2(d) until such time as the Executive Release (as defined below) becomes irrevocable (and any amounts that were unvested or unexercisable as of the Date of Termination shall immediately expire upon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Termination if the Executive Release has not then become irrevocable). All shares, or cash in lieu thereof, to be distributed pursuant to any of the foregoing awards shall be provided to the Executive within fifteen (15) days after the date the Executive Release executed by the Executive has become irrevocable or such later date as provided above and in accordance with the Equity Plan, except as may be required under Section 7 hereof. To the extent not already provided under the Equity Plan or an award agreement relating thereto, the stock options shall remain exercisable in accordance with the relevant agreements and plans; provided that the stock options shall remain exercisable for a period of one year from the Date of Termination, but not longer than the expiration of the original maximum term of any such stock option.</w:t>
      </w:r>
    </w:p>
    <w:p>
      <w:pPr>
        <w:spacing w:after="0" w:line="155" w:lineRule="exact"/>
        <w:rPr>
          <w:sz w:val="20"/>
          <w:szCs w:val="20"/>
          <w:color w:val="auto"/>
        </w:rPr>
      </w:pPr>
    </w:p>
    <w:p>
      <w:pPr>
        <w:ind w:right="20" w:firstLine="1296"/>
        <w:spacing w:after="0" w:line="220"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Termination by the Company Without Cause or by the Executive for Good Reason Prior to, or More than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24 Months Following, a Change in Control</w:t>
      </w:r>
      <w:r>
        <w:rPr>
          <w:rFonts w:ascii="Times New Roman" w:cs="Times New Roman" w:eastAsia="Times New Roman" w:hAnsi="Times New Roman"/>
          <w:sz w:val="21"/>
          <w:szCs w:val="21"/>
          <w:color w:val="auto"/>
        </w:rPr>
        <w:t>. If, prior to a Change in Control or more than twenty-four (24) months following a Change in Control, either the Executive’s employment is terminated by the Company without Cause (other than for Disability or death) or the Executive resigns for Good Reason, then, following the Date of Termination and subject to the conditions of Section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and in accordance with the payment terms set forth in Section 7:</w:t>
      </w:r>
    </w:p>
    <w:p>
      <w:pPr>
        <w:spacing w:after="0" w:line="155" w:lineRule="exact"/>
        <w:rPr>
          <w:sz w:val="20"/>
          <w:szCs w:val="20"/>
          <w:color w:val="auto"/>
        </w:rPr>
      </w:pPr>
    </w:p>
    <w:p>
      <w:pPr>
        <w:ind w:right="200" w:firstLine="1304"/>
        <w:spacing w:after="0" w:line="220" w:lineRule="auto"/>
        <w:tabs>
          <w:tab w:leader="none" w:pos="194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for a period of twenty-four (24) months beginning on the Payment Commencement Date, (i) continue to pay to the Executive, in accordance with the Company’s customary payroll practices, his then current Base Salary as severance and (ii) pay the Executive an amount equal to two (2) times his Target Bonus, payable in equal installments over the twenty-four (24) months on the same payroll dates as the payroll dates for the payments being made pursuant to clause</w:t>
      </w:r>
    </w:p>
    <w:p>
      <w:pPr>
        <w:spacing w:after="0" w:line="2"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52" w:name="page53"/>
    <w:bookmarkEnd w:id="52"/>
    <w:p>
      <w:pPr>
        <w:ind w:left="-20" w:right="120" w:firstLine="1304"/>
        <w:spacing w:after="0" w:line="213" w:lineRule="auto"/>
        <w:tabs>
          <w:tab w:leader="none" w:pos="191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will receive an amount equal to the annual management incentive plan bonus that would have been otherwise payable to the Executive for the fiscal year in which the Date of Termination occurs based on the actual performance of the Company for such year, and assuming the Executive’s employment had not terminated prior to the payment date for such bonus, multiplied by a fraction, the numerator of which is the number of days elapsed in the fiscal year of termination of employment through the Date of Termination, and the denominator of which is 365 (the “Pro-Rata Bonus”), to be paid at the same time as such bonuses are paid to senior executives of the Company (but in no event earlier than the Payment Commencement Date);</w:t>
      </w:r>
    </w:p>
    <w:p>
      <w:pPr>
        <w:spacing w:after="0" w:line="156" w:lineRule="exact"/>
        <w:rPr>
          <w:rFonts w:ascii="Times New Roman" w:cs="Times New Roman" w:eastAsia="Times New Roman" w:hAnsi="Times New Roman"/>
          <w:sz w:val="22"/>
          <w:szCs w:val="22"/>
          <w:color w:val="auto"/>
        </w:rPr>
      </w:pPr>
    </w:p>
    <w:p>
      <w:pPr>
        <w:ind w:left="-20" w:right="120" w:firstLine="1304"/>
        <w:spacing w:after="0" w:line="205" w:lineRule="auto"/>
        <w:tabs>
          <w:tab w:leader="none" w:pos="192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is eligible for and timely elects to continue receiving group medical and/or dental insurance under the continuation coverage rules known as COBRA, the Company will continue to pay the share of the premium for such coverage that it pays for active and similarly-situated employees who receive the same type of coverage (single, family, or other) until the earlier of (x) the end of the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month after the Date of Termination, (y) the date the covered individual’s COBRA continuation coverage expires, unless, as a result of a change in legal requirements, the Company’s provision of payments for COBRA will violate the nondiscrimination requirements of applicable law, in which case this benefit will be adjusted to provide for cash payments that would put the Executive in the same position as if he received the benefits contemplated hereunder and (z) the date the Executive commences new employment and is eligible for medical and dental benefits through his new employer; and</w:t>
      </w:r>
    </w:p>
    <w:p>
      <w:pPr>
        <w:spacing w:after="0" w:line="156" w:lineRule="exact"/>
        <w:rPr>
          <w:rFonts w:ascii="Times New Roman" w:cs="Times New Roman" w:eastAsia="Times New Roman" w:hAnsi="Times New Roman"/>
          <w:sz w:val="22"/>
          <w:szCs w:val="22"/>
          <w:color w:val="auto"/>
        </w:rPr>
      </w:pPr>
    </w:p>
    <w:p>
      <w:pPr>
        <w:ind w:left="-20" w:firstLine="1304"/>
        <w:spacing w:after="0" w:line="214" w:lineRule="auto"/>
        <w:tabs>
          <w:tab w:leader="none" w:pos="191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be acceleration of vesting of, and lapse of restrictions on, all unexpired, unvested stock options and time-based restricted stock units, such that said stock options and time-based restricted stock units become fully vested as of the Date of Termination, except as otherwise provided in the terms of such Awards. In addition, to the extent the Executive is the holder of any contingent performance share awards (or other performance-based equity awards), he shall be entitled, following completion of the applicable Performance Period, to the number of shares of common stock, if any, that would have been earned had the Executive’s employment not ended based on the actual achievement of the applicable performance targets during the full relevant Performance Period (as defined under such award), computed at the end of the Performance Period, and pro-rated by multiplying that number of shares by a fraction, the numerator of which is the number of days from the start of the Performance Period to the Date of Termination, and the denominator of which is the total number of days in the applicable Performance Period (the “Pro-Rated PSA Vesting”). Any shares earned under such awards shall be provided to the Executive after the end of the applicable Performance Period for that Award in accordance with the terms of the applicable Award, but in no event earlier than thirty (30) days after the evaluation of the applicable Performance Period is completed (the “Pro-Rated PSA Vesting Schedule”). The Executive may not exercise or dispose of any portion of an Award or related shares of common stock that vests or become exercisable under this Section 6.3(d) until such time as the Executive Release becomes irrevocable (and any amounts that were unvested or unexercisable as of the Date of Termination shall immediately expire upon the 45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Date of Termination if the Executive Release has not then become irrevocable). All shares to be distributed pursuant to any of the foregoing awards shall be provided to the Executive within fifteen (15) days after the date the Executive Release executed by the Executive has become irrevocable or such later date as provided above and in accordance with the Equity Plan, except as may be required under Section 8 hereof. The stock options held by the Executive as of the Date of Termination shall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40" w:top="1395" w:right="359" w:bottom="1440" w:gutter="0" w:footer="0" w:header="0"/>
        </w:sectPr>
      </w:pPr>
    </w:p>
    <w:bookmarkStart w:id="53" w:name="page54"/>
    <w:bookmarkEnd w:id="53"/>
    <w:p>
      <w:pPr>
        <w:ind w:right="120"/>
        <w:spacing w:after="0" w:line="236" w:lineRule="auto"/>
        <w:rPr>
          <w:sz w:val="20"/>
          <w:szCs w:val="20"/>
          <w:color w:val="auto"/>
        </w:rPr>
      </w:pPr>
      <w:r>
        <w:rPr>
          <w:rFonts w:ascii="Times New Roman" w:cs="Times New Roman" w:eastAsia="Times New Roman" w:hAnsi="Times New Roman"/>
          <w:sz w:val="22"/>
          <w:szCs w:val="22"/>
          <w:color w:val="auto"/>
        </w:rPr>
        <w:t>exercisable for a period of up to one year following the Date of Termination, but in any event not longer than the expiration date of the original maximum term of the applicable stock option.</w:t>
      </w:r>
    </w:p>
    <w:p>
      <w:pPr>
        <w:spacing w:after="0" w:line="150" w:lineRule="exact"/>
        <w:rPr>
          <w:sz w:val="20"/>
          <w:szCs w:val="20"/>
          <w:color w:val="auto"/>
        </w:rPr>
      </w:pPr>
    </w:p>
    <w:p>
      <w:pPr>
        <w:ind w:firstLine="1296"/>
        <w:spacing w:after="0" w:line="207"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Termination by the Company for Cause, by the Executive Without Good Reason, or Due to Expiration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Employment Period</w:t>
      </w:r>
      <w:r>
        <w:rPr>
          <w:rFonts w:ascii="Times New Roman" w:cs="Times New Roman" w:eastAsia="Times New Roman" w:hAnsi="Times New Roman"/>
          <w:sz w:val="22"/>
          <w:szCs w:val="22"/>
          <w:color w:val="auto"/>
        </w:rPr>
        <w:t>. If the Company terminates the Executive’s employment for Cause, the Executive resigns without Good Reason, or the Employment Period expires on the End Date, then the Company’s obligations under this Agreement shall immediately cease and the Executive shall be entitled to only the portion of the Base Salary that has accrued and to which the Executive is entitled as of the Date of Termination. The Executive shall not be entitled to any other compensation or consideration that the Executive may have received had the Employment Period not ended, and all stock options, restricted stock units and contingent performance share awards granted to the Executive shall be treated as provided in the relevant agreements and plans. Notwithstanding the foregoing, in the event of termination due to expiration of the Employment Period, if (i) the Company does not offer in writing to extend the Employment Period, on terms and conditions at least as favorable as those set forth in this Agreement (taking into account any increases to Base Salary or Target Bonus in effect as of immediately prior to the expiration of the Employment Period), for an additional period of at least one year following the End Date, and (ii) the parties cannot otherwise mutually agree upon the terms of an agreement pursuant to which the Executive would remain employed with the Company following the End Date, then, following the Date of Termination and subject to the conditions of Section 7 and in accordance with the payment terms set forth in Section 7, (a) for a period of eighteen (18) months beginning on the Payment Commencement Date, the Company shall (A) continue to pay to the Executive, in accordance with the Company’s customary payroll practices, his then current Base Salary as severance, (B) pay an amount equal to one and a half (1.5) times the Executive’s Target Bonus in equal installments on each of the Company’s customary payroll dates during such eighteen (18) month-period and (C) if the Executive is eligible for and timely elects to continue receiving group medical and/or dental insurance under the continuation coverage rules known as COBRA, continue to pay the share of the premium for such coverage that it pays for active and similarly-situated employees who receive the same type of coverage (single, family, or other) unless, as a result of a change in legal requirements, the Company’s provision of payments for COBRA will violate the nondiscrimination requirements of applicable law, in which case this benefit will be adjusted to provide for cash payments that would put the Executive in the same position as if he received the benefits contemplated hereunder, (b) the Company shall pay Executive a Pro-Rata Bonus for the year in which the Date of Termination occurs, (c) to the extent the Executive is the holder of any contingent performance share awards (or other performance-based equity awards), he shall be entitled to Pro-Rata PSA Vesting in accordance with the Pro-Rated PSA Vesting Schedule, and (d) all other outstanding equity awards held by the Executive shall be treated in accordance with their terms.</w:t>
      </w:r>
    </w:p>
    <w:p>
      <w:pPr>
        <w:spacing w:after="0" w:line="157" w:lineRule="exact"/>
        <w:rPr>
          <w:sz w:val="20"/>
          <w:szCs w:val="20"/>
          <w:color w:val="auto"/>
        </w:rPr>
      </w:pPr>
    </w:p>
    <w:p>
      <w:pPr>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Termination due to the Executive’s Death or Disability</w:t>
      </w:r>
      <w:r>
        <w:rPr>
          <w:rFonts w:ascii="Times New Roman" w:cs="Times New Roman" w:eastAsia="Times New Roman" w:hAnsi="Times New Roman"/>
          <w:sz w:val="22"/>
          <w:szCs w:val="22"/>
          <w:color w:val="auto"/>
        </w:rPr>
        <w:t>. If the Executive’s employment is terminated due to his death or Disability, the Executive will receive the Pro-Rata Bonus as well as accelerated vesting of all unexpired, unvested time-based restricted stock units and stock options, such that said time-based restricted stock units and stock options shall become fully vested as of the Date of Termination, except as otherwise provided in the terms of such Awards, and provided that the stock options shall remain exercisable for a period of up to one year following the Date of Termination, but not longer than the expiration date of the original maximum term of any of the stock options. In addition, to the extent the Executive is the holder of any contingent performance share awards (or other performance-based equity awards),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395" w:right="359" w:bottom="1440" w:gutter="0" w:footer="0" w:header="0"/>
        </w:sectPr>
      </w:pPr>
    </w:p>
    <w:bookmarkStart w:id="54" w:name="page55"/>
    <w:bookmarkEnd w:id="54"/>
    <w:p>
      <w:pPr>
        <w:ind w:right="100"/>
        <w:spacing w:after="0" w:line="210" w:lineRule="auto"/>
        <w:rPr>
          <w:sz w:val="20"/>
          <w:szCs w:val="20"/>
          <w:color w:val="auto"/>
        </w:rPr>
      </w:pPr>
      <w:r>
        <w:rPr>
          <w:rFonts w:ascii="Times New Roman" w:cs="Times New Roman" w:eastAsia="Times New Roman" w:hAnsi="Times New Roman"/>
          <w:sz w:val="22"/>
          <w:szCs w:val="22"/>
          <w:color w:val="auto"/>
        </w:rPr>
        <w:t>termination of employment is due to Disability, the Executive shall be entitled to Pro-Rated PSA Vesting pursuant to the Pro-Rated PSA Vesting Schedule based on actual Company performance over the period, with any shares to be distributed to the Executive at the end of the applicable Performance Period in accordance with the terms of the applicable award, but in no event earlier than thirty (30) days after the evaluation of the applicable Performance Period is completed, or (b) termination is due to the Executive’s death, the Executive’s estate or beneficiaries shall be issued the number of shares of common stock that is computed by multiplying: (i) the number of shares of common stock which would have been issuable to the Executive pursuant to the applicable award assuming completion of the applicable Performance Period and the Company’s achievement of the applicable targets at 100% of the target level during the full relevant Performance Period (as defined under such award), multiplied by (ii) a fraction, the numerator of which is the number of days from the start of the applicable Performance Period to the Date of Termination and the denominator of which is the total number of days in the applicable Performance Period, with such pro-rated target award to be payable as soon as is reasonably practicable (but no more than sixty (60) days) following the Executive’s death.</w:t>
      </w:r>
    </w:p>
    <w:p>
      <w:pPr>
        <w:spacing w:after="0" w:line="152" w:lineRule="exact"/>
        <w:rPr>
          <w:sz w:val="20"/>
          <w:szCs w:val="20"/>
          <w:color w:val="auto"/>
        </w:rPr>
      </w:pPr>
    </w:p>
    <w:p>
      <w:pPr>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No Other Severance</w:t>
      </w:r>
      <w:r>
        <w:rPr>
          <w:rFonts w:ascii="Times New Roman" w:cs="Times New Roman" w:eastAsia="Times New Roman" w:hAnsi="Times New Roman"/>
          <w:sz w:val="22"/>
          <w:szCs w:val="22"/>
          <w:color w:val="auto"/>
        </w:rPr>
        <w:t>. The Executive shall not be entitled to any benefits beyond those provided for in this Section 6 by virtue of termination of his employment or this Agreement, including pursuant to any generally applicable Company plan, policy, or agreement.</w:t>
      </w:r>
    </w:p>
    <w:p>
      <w:pPr>
        <w:spacing w:after="0" w:line="152" w:lineRule="exact"/>
        <w:rPr>
          <w:sz w:val="20"/>
          <w:szCs w:val="20"/>
          <w:color w:val="auto"/>
        </w:rPr>
      </w:pPr>
    </w:p>
    <w:p>
      <w:pPr>
        <w:ind w:right="30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Other Effects of Termination</w:t>
      </w:r>
      <w:r>
        <w:rPr>
          <w:rFonts w:ascii="Times New Roman" w:cs="Times New Roman" w:eastAsia="Times New Roman" w:hAnsi="Times New Roman"/>
          <w:sz w:val="22"/>
          <w:szCs w:val="22"/>
          <w:color w:val="auto"/>
        </w:rPr>
        <w:t>. Upon termination of the Executive’s employment for any reason, the Executive shall resign effective as of such date from any position he may then hold as a Board member or officer of Hasbro or any subsidiary or affiliate of Hasbro.</w:t>
      </w:r>
    </w:p>
    <w:p>
      <w:pPr>
        <w:spacing w:after="0" w:line="153" w:lineRule="exact"/>
        <w:rPr>
          <w:sz w:val="20"/>
          <w:szCs w:val="20"/>
          <w:color w:val="auto"/>
        </w:rPr>
      </w:pPr>
    </w:p>
    <w:p>
      <w:pPr>
        <w:ind w:right="80" w:firstLine="656"/>
        <w:spacing w:after="0" w:line="215" w:lineRule="auto"/>
        <w:tabs>
          <w:tab w:leader="none" w:pos="129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The obligation of the Company to make the payments and provide the benefits to the Executive under Section 6.2, 6.3, or 6.4 (for Section 6.4 only in connection with the Company’s failure to extend the Employment Period) is conditioned upon the Executive signing and delivering to the Company a severance and release of claims agreement in a form to be provided by the Company (which will include, at a minimum, a release of all releasable claims and confidentiality, non-disparagement and cooperation obligations by the Executive in favor of the Company, but in no event shall such release provide any restrictive covenants that are more restrictive than those set forth in this Agreement) (the “Executive Release”), which Executive Release must become irrevocable within forty-five (45) days following the Date of Termination. Except as otherwise provided in Section 6.3(b), the Company shall commence or make, as applicable, the payments under Section 6.2, 6.3, or 6.4 on the first payroll period (but not more than sixty (60) days) following the date the Executive Release becomes irrevocable (such date, the “Payment Commencement Date”); provided, however, that if the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Date of Termination falls in the calendar year following the year of the Executive’s termination of employment, the Payment Commencement Date shall be no earlier than the first payroll period of such later calendar year; and provided further that the payment of any amounts pursuant to Section 6.1, 6.2, 6.3, or 6.4 shall be subject to the terms and conditions set forth in Section 12.11.</w:t>
      </w:r>
    </w:p>
    <w:p>
      <w:pPr>
        <w:spacing w:after="0" w:line="149"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60" w:firstLine="1296"/>
        <w:spacing w:after="0" w:line="225" w:lineRule="auto"/>
        <w:rPr>
          <w:sz w:val="20"/>
          <w:szCs w:val="20"/>
          <w:color w:val="auto"/>
        </w:rPr>
      </w:pPr>
      <w:r>
        <w:rPr>
          <w:rFonts w:ascii="Times New Roman" w:cs="Times New Roman" w:eastAsia="Times New Roman" w:hAnsi="Times New Roman"/>
          <w:sz w:val="22"/>
          <w:szCs w:val="22"/>
          <w:color w:val="auto"/>
        </w:rPr>
        <w:t>1.1 Notwithstanding any other provision of this Agreement, except as set forth in Section 8.2, in the event that the Company undergoes a “Change in Ownership or Control” (as defined below), the Company shall not be obligated to provide to the Executive a portion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395" w:right="359" w:bottom="1440" w:gutter="0" w:footer="0" w:header="0"/>
        </w:sectPr>
      </w:pPr>
    </w:p>
    <w:bookmarkStart w:id="55" w:name="page56"/>
    <w:bookmarkEnd w:id="55"/>
    <w:p>
      <w:pPr>
        <w:ind w:right="20"/>
        <w:spacing w:after="0" w:line="215" w:lineRule="auto"/>
        <w:rPr>
          <w:sz w:val="20"/>
          <w:szCs w:val="20"/>
          <w:color w:val="auto"/>
        </w:rPr>
      </w:pPr>
      <w:r>
        <w:rPr>
          <w:rFonts w:ascii="Times New Roman" w:cs="Times New Roman" w:eastAsia="Times New Roman" w:hAnsi="Times New Roman"/>
          <w:sz w:val="22"/>
          <w:szCs w:val="22"/>
          <w:color w:val="auto"/>
        </w:rPr>
        <w:t>“Contingent Compensation Payments” (as defined below) that the Executive would otherwise be entitled to receive to the extent necessary to eliminate any “excess parachute payments” (as defined in Section 280G(b)(1) of the U.S. Internal Revenue Code (the “Code”)) for the Executive. For purposes of this Section 8,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52" w:lineRule="exact"/>
        <w:rPr>
          <w:sz w:val="20"/>
          <w:szCs w:val="20"/>
          <w:color w:val="auto"/>
        </w:rPr>
      </w:pPr>
    </w:p>
    <w:p>
      <w:pPr>
        <w:ind w:right="40" w:firstLine="1296"/>
        <w:spacing w:after="0" w:line="210" w:lineRule="auto"/>
        <w:rPr>
          <w:sz w:val="20"/>
          <w:szCs w:val="20"/>
          <w:color w:val="auto"/>
        </w:rPr>
      </w:pPr>
      <w:r>
        <w:rPr>
          <w:rFonts w:ascii="Times New Roman" w:cs="Times New Roman" w:eastAsia="Times New Roman" w:hAnsi="Times New Roman"/>
          <w:sz w:val="22"/>
          <w:szCs w:val="22"/>
          <w:color w:val="auto"/>
        </w:rPr>
        <w:t>1.2 Notwithstanding the provisions of Section 8.1, no such reduction in Contingent Compensation Payments shall be made if (i) the Eliminated Amount (computed without regard to this sentence) exceeds (ii) 110% of the aggregate present value (determined in accordance with Treasury Regulation Section 1.280G-1, Q/A-31 and Q/A-32 or any successor provisions) of the amount of any additional taxes that would be incurred by the Executive if the Eliminated Payments (determined without regard to this sentence) were paid to him or her (including, state and federal income taxes on the Eliminated Payments, the excise tax imposed by Section 4999 of the Code payable with respect to all of the Contingent Compensation Payments in excess of the Executive’s “base amount” (as defined in Section 280G(b)(3) of the Code), and any withholding taxes). The override of such reduction in Contingent Compensation Payments pursuant to this Section 8.2 shall be referred to as a “Section 8.2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15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For purposes of this Section 8 the following terms shall have the following respective meanings:</w:t>
      </w:r>
    </w:p>
    <w:p>
      <w:pPr>
        <w:spacing w:after="0" w:line="179" w:lineRule="exact"/>
        <w:rPr>
          <w:sz w:val="20"/>
          <w:szCs w:val="20"/>
          <w:color w:val="auto"/>
        </w:rPr>
      </w:pPr>
    </w:p>
    <w:p>
      <w:pPr>
        <w:ind w:right="80" w:firstLine="1952"/>
        <w:spacing w:after="0" w:line="225" w:lineRule="auto"/>
        <w:tabs>
          <w:tab w:leader="none" w:pos="25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52" w:lineRule="exact"/>
        <w:rPr>
          <w:rFonts w:ascii="Times New Roman" w:cs="Times New Roman" w:eastAsia="Times New Roman" w:hAnsi="Times New Roman"/>
          <w:sz w:val="22"/>
          <w:szCs w:val="22"/>
          <w:color w:val="auto"/>
        </w:rPr>
      </w:pPr>
    </w:p>
    <w:p>
      <w:pPr>
        <w:ind w:firstLine="1952"/>
        <w:spacing w:after="0" w:line="220" w:lineRule="auto"/>
        <w:tabs>
          <w:tab w:leader="none" w:pos="258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52" w:lineRule="exact"/>
        <w:rPr>
          <w:sz w:val="20"/>
          <w:szCs w:val="20"/>
          <w:color w:val="auto"/>
        </w:rPr>
      </w:pPr>
    </w:p>
    <w:p>
      <w:pPr>
        <w:ind w:right="60" w:firstLine="1296"/>
        <w:spacing w:after="0" w:line="211" w:lineRule="auto"/>
        <w:rPr>
          <w:sz w:val="20"/>
          <w:szCs w:val="20"/>
          <w:color w:val="auto"/>
        </w:rPr>
      </w:pPr>
      <w:r>
        <w:rPr>
          <w:rFonts w:ascii="Times New Roman" w:cs="Times New Roman" w:eastAsia="Times New Roman" w:hAnsi="Times New Roman"/>
          <w:sz w:val="22"/>
          <w:szCs w:val="22"/>
          <w:color w:val="auto"/>
        </w:rPr>
        <w:t>1.4 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8.4. Within thirty (30) days after each date on which the Executive first becomes entitled to receive (whether or not then due) a Contingent Compensation Payment relating to such Change in Ownership or Control, the Company shall determine and notify the Executive (with reasonable detail regarding the basis for its determinations) (a) which Potential Payments constitute Contingent Compensation Payments, (b) the Eliminated Amount and (c) whether the Section 8.2 Override is applicable. Within thirty (30) days after delivery of such notice to the Executive, the Executive shall deliver a response to the Company (the “Executive Response”) stating either (A) that he agrees with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56" w:name="page57"/>
    <w:bookmarkEnd w:id="56"/>
    <w:p>
      <w:pPr>
        <w:ind w:right="80"/>
        <w:spacing w:after="0" w:line="218" w:lineRule="auto"/>
        <w:rPr>
          <w:sz w:val="20"/>
          <w:szCs w:val="20"/>
          <w:color w:val="auto"/>
        </w:rPr>
      </w:pPr>
      <w:r>
        <w:rPr>
          <w:rFonts w:ascii="Times New Roman" w:cs="Times New Roman" w:eastAsia="Times New Roman" w:hAnsi="Times New Roman"/>
          <w:sz w:val="21"/>
          <w:szCs w:val="21"/>
          <w:color w:val="auto"/>
        </w:rPr>
        <w:t>determination pursuant to the preceding sentence, or (B) that he disagrees with such determination, in which case he shall set forth (i) which Potential Payments should be characterized as Contingent Compensation Payments, (ii) the Eliminated Amount, and (iii) whether the Section 8.2 Override is applicable. In the event that the Executive fails to deliver an Executive Response on or before the required date, the Company’s initial determination shall be final. If and to the extent that any Contingent Compensation Payments are required to be treated as Eliminated Payments pursuant to this Section 8, then the payments shall be reduced or eliminated, as determined by the Company, in the following order: (I) any cash payments, (II) any taxable benefits,</w:t>
      </w:r>
    </w:p>
    <w:p>
      <w:pPr>
        <w:spacing w:after="0" w:line="4" w:lineRule="exact"/>
        <w:rPr>
          <w:sz w:val="20"/>
          <w:szCs w:val="20"/>
          <w:color w:val="auto"/>
        </w:rPr>
      </w:pPr>
    </w:p>
    <w:p>
      <w:pPr>
        <w:ind w:firstLine="8"/>
        <w:spacing w:after="0" w:line="216" w:lineRule="auto"/>
        <w:tabs>
          <w:tab w:leader="none" w:pos="41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nontaxable benefits, and (IV) any vesting of equity awards, in each case in reverse order beginning with payments or benefits that are to be paid the farthest in time from the date that triggers the applicability of the excise tax, to the extent necessary to maximize the Eliminated Payments. If the Executive states in the Executive Response that he agrees with the Company’s determination, the Company shall make the Potential Payments to the Executive within three (3) business days following delivery to the Company of the Executive Response (except for any Potential Payments which are not due to be made until after such date, which Potential Payments shall be made on the date on which they are due). If the Executive states in the Executive Response that he disagrees with the Company’s determination, then, for a period of sixty (60) days following delivery of the Executive Response, the Executive and the Company shall use good faith efforts to resolve such dispute. If such dispute is not resolved within such sixty (60)-day period, such dispute shall be settled exclusively by arbitration in the State of Rhode Island, in accordance with the rules of the American Arbitration Association then in effect. Judgment may be entered on the arbitrator’s award in any court having jurisdiction. The Company shall, within three (3)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shall be made within three (3) business days following the resolution of such dispute; provided that such payments shall be made no later than the end of the calendar year in which the Executive and the Company enter into a legally binding settlement of the applicable dispute, the Company concedes that the amount is payable, or the Company is required to make such payment pursuant to a final and nonappealable judgement or other binding decision. Subject to the limitations contained in Sections 8.1 and 8.2 hereof, the amount of any payments to be made to the Executive following the resolution of such dispute shall be increased by amount of the accrued interest thereon computed at the prime rate announced from time to time by The Wall Street Journal, compounded monthly from the date that such payments originally were due.</w:t>
      </w:r>
    </w:p>
    <w:p>
      <w:pPr>
        <w:spacing w:after="0" w:line="164" w:lineRule="exact"/>
        <w:rPr>
          <w:sz w:val="20"/>
          <w:szCs w:val="20"/>
          <w:color w:val="auto"/>
        </w:rPr>
      </w:pPr>
    </w:p>
    <w:p>
      <w:pPr>
        <w:jc w:val="both"/>
        <w:ind w:right="120" w:firstLine="1296"/>
        <w:spacing w:after="0" w:line="225" w:lineRule="auto"/>
        <w:rPr>
          <w:sz w:val="20"/>
          <w:szCs w:val="20"/>
          <w:color w:val="auto"/>
        </w:rPr>
      </w:pPr>
      <w:r>
        <w:rPr>
          <w:rFonts w:ascii="Times New Roman" w:cs="Times New Roman" w:eastAsia="Times New Roman" w:hAnsi="Times New Roman"/>
          <w:sz w:val="22"/>
          <w:szCs w:val="22"/>
          <w:color w:val="auto"/>
        </w:rPr>
        <w:t>1.5 The provisions of this Section 8 are intended to apply to any and all payments or benefits available to the Executive under this Agreement or any other agreement or plan of the Company under which the Executive receives Contingent Compensation Payments.</w:t>
      </w:r>
    </w:p>
    <w:p>
      <w:pPr>
        <w:spacing w:after="0" w:line="152"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right="60" w:firstLine="1296"/>
        <w:spacing w:after="0" w:line="220" w:lineRule="auto"/>
        <w:rPr>
          <w:sz w:val="20"/>
          <w:szCs w:val="20"/>
          <w:color w:val="auto"/>
        </w:rPr>
      </w:pPr>
      <w:r>
        <w:rPr>
          <w:rFonts w:ascii="Times New Roman" w:cs="Times New Roman" w:eastAsia="Times New Roman" w:hAnsi="Times New Roman"/>
          <w:sz w:val="22"/>
          <w:szCs w:val="22"/>
          <w:color w:val="auto"/>
        </w:rPr>
        <w:t>1.1 During the Restricted Period (as defined below), the Executive shall not, in the geographical area in which the Company or any of its affiliates does business or has done business at the time of his employment termination, engage in any business or enterprise that would be competitive with any business of the Company (inclusive of all of its subsidiaries, divisions and affiliates, including, without limitation, Wizards of the Coast) in existence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395" w:right="359" w:bottom="1440" w:gutter="0" w:footer="0" w:header="0"/>
        </w:sectPr>
      </w:pPr>
    </w:p>
    <w:bookmarkStart w:id="57" w:name="page58"/>
    <w:bookmarkEnd w:id="57"/>
    <w:p>
      <w:pPr>
        <w:ind w:right="80"/>
        <w:spacing w:after="0" w:line="225" w:lineRule="auto"/>
        <w:rPr>
          <w:sz w:val="20"/>
          <w:szCs w:val="20"/>
          <w:color w:val="auto"/>
        </w:rPr>
      </w:pPr>
      <w:r>
        <w:rPr>
          <w:rFonts w:ascii="Times New Roman" w:cs="Times New Roman" w:eastAsia="Times New Roman" w:hAnsi="Times New Roman"/>
          <w:sz w:val="22"/>
          <w:szCs w:val="22"/>
          <w:color w:val="auto"/>
        </w:rPr>
        <w:t>Date of Termination (a “Competitive Business”). This obligation shall preclude any involvement in a Competitive Business, whether on a direct or indirect basis, and whether as an owner, partner, officer, director, employee, consultant, investor, lender or otherwise, except as the passive holder of not more than 1% of the outstanding stock of a publicly-held company.</w:t>
      </w:r>
    </w:p>
    <w:p>
      <w:pPr>
        <w:spacing w:after="0" w:line="153" w:lineRule="exact"/>
        <w:rPr>
          <w:sz w:val="20"/>
          <w:szCs w:val="20"/>
          <w:color w:val="auto"/>
        </w:rPr>
      </w:pPr>
    </w:p>
    <w:p>
      <w:pPr>
        <w:ind w:firstLine="1296"/>
        <w:spacing w:after="0" w:line="210" w:lineRule="auto"/>
        <w:rPr>
          <w:sz w:val="20"/>
          <w:szCs w:val="20"/>
          <w:color w:val="auto"/>
        </w:rPr>
      </w:pPr>
      <w:r>
        <w:rPr>
          <w:rFonts w:ascii="Times New Roman" w:cs="Times New Roman" w:eastAsia="Times New Roman" w:hAnsi="Times New Roman"/>
          <w:sz w:val="22"/>
          <w:szCs w:val="22"/>
          <w:color w:val="auto"/>
        </w:rPr>
        <w:t>1.2 During the Restricted Period, the Executive shall not, directly or indirectly, either alone or in association with others, (a) solicit, recruit, induce, attempt to induce or permit any organization directly or indirectly controlled by the Executive to solicit, recruit, induce or attempt to induce any employee of the Company or any of its affiliates to leave the employ of the Company or any of its affiliates, or (b) solicit, recruit, induce, attempt to induce for employment or hire or engage as an independent contractor, or permit any organization directly or indirectly controlled by the Executive to solicit, recruit, induce, attempt to induce for employment or hire or engage as an independent contractor, any person who is employed by the Company or any of its affiliates or who was employed by the Company or any of its affiliates at any time during the term of the Executive’s employment with the Company, provided that this clause (b) shall not apply to any individual whose employment with the Company or any of its affiliates has been terminated for a period of six (6) months or longer. For purposes of this Agreement, “affiliates” means entities controlling, controlled by, or under common control with, the Company, and “control” means the ability to exercise more than 50% of the voting interests or otherwise control management.</w:t>
      </w:r>
    </w:p>
    <w:p>
      <w:pPr>
        <w:spacing w:after="0" w:line="157" w:lineRule="exact"/>
        <w:rPr>
          <w:sz w:val="20"/>
          <w:szCs w:val="20"/>
          <w:color w:val="auto"/>
        </w:rPr>
      </w:pPr>
    </w:p>
    <w:p>
      <w:pPr>
        <w:ind w:right="60" w:firstLine="1296"/>
        <w:spacing w:after="0" w:line="215" w:lineRule="auto"/>
        <w:rPr>
          <w:sz w:val="20"/>
          <w:szCs w:val="20"/>
          <w:color w:val="auto"/>
        </w:rPr>
      </w:pPr>
      <w:r>
        <w:rPr>
          <w:rFonts w:ascii="Times New Roman" w:cs="Times New Roman" w:eastAsia="Times New Roman" w:hAnsi="Times New Roman"/>
          <w:sz w:val="22"/>
          <w:szCs w:val="22"/>
          <w:color w:val="auto"/>
        </w:rPr>
        <w:t>1.3 During the Restricted Period, the Executive shall not, directly or indirectly, either alone or in association with others, solicit, divert or take away, or attempt to solicit, divert or take away, or permit any organization directly or indirectly controlled by the Executive to solicit, divert or take away, or attempt to solicit, divert or take away, the business or patronage of any of the clients, customers or accounts, or prospective clients, customers or accounts of the Company or any of its affiliates, which were contacted, solicited or served by the Company or any of its affiliates at any time during the Executive’s employment with the Company.</w:t>
      </w:r>
    </w:p>
    <w:p>
      <w:pPr>
        <w:spacing w:after="0" w:line="152" w:lineRule="exact"/>
        <w:rPr>
          <w:sz w:val="20"/>
          <w:szCs w:val="20"/>
          <w:color w:val="auto"/>
        </w:rPr>
      </w:pPr>
    </w:p>
    <w:p>
      <w:pPr>
        <w:ind w:right="40" w:firstLine="1296"/>
        <w:spacing w:after="0" w:line="220" w:lineRule="auto"/>
        <w:rPr>
          <w:sz w:val="20"/>
          <w:szCs w:val="20"/>
          <w:color w:val="auto"/>
        </w:rPr>
      </w:pPr>
      <w:r>
        <w:rPr>
          <w:rFonts w:ascii="Times New Roman" w:cs="Times New Roman" w:eastAsia="Times New Roman" w:hAnsi="Times New Roman"/>
          <w:sz w:val="22"/>
          <w:szCs w:val="22"/>
          <w:color w:val="auto"/>
        </w:rPr>
        <w:t>1.4 The Restricted Period shall mean the one-year period after the Executive’s employment with the Company (including any of its affiliates) ends for any reason; provided, however, that if the Executive is eligible (or would have been eligible had he timely entered into the Executive Release) to receive severance pay pursuant to Section 6.2(a) or Section 6.3(a), the Restricted Period shall run for twenty-four (24) months following the Executive’s termination of employment.</w:t>
      </w:r>
    </w:p>
    <w:p>
      <w:pPr>
        <w:spacing w:after="0" w:line="152" w:lineRule="exact"/>
        <w:rPr>
          <w:sz w:val="20"/>
          <w:szCs w:val="20"/>
          <w:color w:val="auto"/>
        </w:rPr>
      </w:pPr>
    </w:p>
    <w:p>
      <w:pPr>
        <w:ind w:right="100" w:firstLine="1296"/>
        <w:spacing w:after="0" w:line="217" w:lineRule="auto"/>
        <w:rPr>
          <w:sz w:val="20"/>
          <w:szCs w:val="20"/>
          <w:color w:val="auto"/>
        </w:rPr>
      </w:pPr>
      <w:r>
        <w:rPr>
          <w:rFonts w:ascii="Times New Roman" w:cs="Times New Roman" w:eastAsia="Times New Roman" w:hAnsi="Times New Roman"/>
          <w:sz w:val="22"/>
          <w:szCs w:val="22"/>
          <w:color w:val="auto"/>
        </w:rPr>
        <w:t>1.5 The geographic scope of this Section 9 shall extend to anywhere the Company or any of its affiliates is doing business at the time of termination or expiration of this Agreement. If any restriction set forth in this Section 9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52" w:lineRule="exact"/>
        <w:rPr>
          <w:sz w:val="20"/>
          <w:szCs w:val="20"/>
          <w:color w:val="auto"/>
        </w:rPr>
      </w:pPr>
    </w:p>
    <w:p>
      <w:pPr>
        <w:ind w:right="160" w:firstLine="1296"/>
        <w:spacing w:after="0" w:line="236" w:lineRule="auto"/>
        <w:rPr>
          <w:sz w:val="20"/>
          <w:szCs w:val="20"/>
          <w:color w:val="auto"/>
        </w:rPr>
      </w:pPr>
      <w:r>
        <w:rPr>
          <w:rFonts w:ascii="Times New Roman" w:cs="Times New Roman" w:eastAsia="Times New Roman" w:hAnsi="Times New Roman"/>
          <w:sz w:val="21"/>
          <w:szCs w:val="21"/>
          <w:color w:val="auto"/>
        </w:rPr>
        <w:t>1.6 The Executive acknowledges that the restrictions contained in this Section 9 are necessary for the protection of the business and goodwill of the Company and are considered by the Executive to be reasonable for such purpose. The Executive agrees that any breach of this Section 9 will cause the Company substantial and irrevocable damage,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395" w:right="379" w:bottom="1440" w:gutter="0" w:footer="0" w:header="0"/>
        </w:sectPr>
      </w:pPr>
    </w:p>
    <w:bookmarkStart w:id="58" w:name="page59"/>
    <w:bookmarkEnd w:id="58"/>
    <w:p>
      <w:pPr>
        <w:spacing w:after="0" w:line="236" w:lineRule="auto"/>
        <w:rPr>
          <w:sz w:val="20"/>
          <w:szCs w:val="20"/>
          <w:color w:val="auto"/>
        </w:rPr>
      </w:pPr>
      <w:r>
        <w:rPr>
          <w:rFonts w:ascii="Times New Roman" w:cs="Times New Roman" w:eastAsia="Times New Roman" w:hAnsi="Times New Roman"/>
          <w:sz w:val="22"/>
          <w:szCs w:val="22"/>
          <w:color w:val="auto"/>
        </w:rPr>
        <w:t>therefore, in the event of any such breach, in addition to such other remedies which may be available, the Company shall have the right to obtain and receive specific performance and injunctive relief without posting a bond or other security.</w:t>
      </w:r>
    </w:p>
    <w:p>
      <w:pPr>
        <w:spacing w:after="0" w:line="150" w:lineRule="exact"/>
        <w:rPr>
          <w:sz w:val="20"/>
          <w:szCs w:val="20"/>
          <w:color w:val="auto"/>
        </w:rPr>
      </w:pPr>
    </w:p>
    <w:p>
      <w:pPr>
        <w:ind w:right="40" w:firstLine="1296"/>
        <w:spacing w:after="0" w:line="207" w:lineRule="auto"/>
        <w:rPr>
          <w:sz w:val="20"/>
          <w:szCs w:val="20"/>
          <w:color w:val="auto"/>
        </w:rPr>
      </w:pPr>
      <w:r>
        <w:rPr>
          <w:rFonts w:ascii="Times New Roman" w:cs="Times New Roman" w:eastAsia="Times New Roman" w:hAnsi="Times New Roman"/>
          <w:sz w:val="22"/>
          <w:szCs w:val="22"/>
          <w:color w:val="auto"/>
        </w:rPr>
        <w:t>1.7 If it is determined by a court of law that the Executive violated any of the provisions of Section 9.1, 9.2, or 9.3, he shall continue to be bound by the restrictions set forth therein until a period equal to the Restricted Period has expired without any violation of such provisions. The Executive further agrees that in the event he violates any of the provisions of Section 9.1, 9.2, or 9.3 (and such violation is not cured (if capable of being cured) within thirty (30) days after the Executive receives written notice from the Company setting forth in reasonable detail the manner in which the Company believes the Executive has violated any such provision), then the Company shall have no obligation to pay or provide any of the benefits described in Section 6.1, 6.2, 6.3, 6.4 or 6.5 as applicable (and, to the extent the Company previously paid or provided any such benefits, the Executive shall be required to immediately repay to the Company the value of any such pay and benefits). In addition, in the event of any material violation that is not cured as provided in the preceding sentence, the Executive agrees to forfeit and pay to Hasbro the total Net Proceeds obtained with respect to any unvested stock options, restricted stock units, performance share awards, contingent stock performance awards or other equity accelerated or provided pursuant to Section 6.2, 6.3 or 6.5, as applicable. For purposes of this Agreement, “Net Proceeds” shall be computed for each stock option grant accelerated pursuant to Section 6.2, 6.3 or 6.5, as applicable, by multiplying the number of accelerated options times the difference between the closing price of Hasbro’s common stock on the last day of the Executive’s employment and the exercise price for the grant being accelerated. “Net Proceeds” for each share of restricted stock unit accelerated pursuant to Section 6.2, 6.3 or 6.5, as applicable, shall be computed by multiplying the number of shares or units accelerated by the closing price of Hasbro’s common stock on the last day of the Executive’s employment. “Net Proceeds” for each share of stock or performance share award provided pursuant to an unvested contingent stock performance or performance share award shall be computed by multiplying the number of shares or units provided pursuant to the Award by the closing price of Hasbro’s common stock on the day such shares are provided to the Executive. Net Proceeds will be computed without regard to any subsequent increase or decrease, if any, in the market price or actual proceeds from any sale of Hasbro’s common stock. The foregoing amounts will be owed regardless of whether or not the accelerated options have been actually exercised or the underlying shares of common stock have been actually sold.</w:t>
      </w:r>
    </w:p>
    <w:p>
      <w:pPr>
        <w:spacing w:after="0" w:line="166" w:lineRule="exact"/>
        <w:rPr>
          <w:sz w:val="20"/>
          <w:szCs w:val="20"/>
          <w:color w:val="auto"/>
        </w:rPr>
      </w:pPr>
    </w:p>
    <w:p>
      <w:pPr>
        <w:ind w:firstLine="656"/>
        <w:spacing w:after="0" w:line="236" w:lineRule="auto"/>
        <w:tabs>
          <w:tab w:leader="none" w:pos="1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Restrictions</w:t>
      </w:r>
      <w:r>
        <w:rPr>
          <w:rFonts w:ascii="Times New Roman" w:cs="Times New Roman" w:eastAsia="Times New Roman" w:hAnsi="Times New Roman"/>
          <w:sz w:val="22"/>
          <w:szCs w:val="22"/>
          <w:color w:val="auto"/>
        </w:rPr>
        <w:t>. The Executive represents and warrants that he is not bound by any employment contracts, restrictive covenants or other restrictions that are in any way inconsistent with any of the terms of this Agreement.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following terms shall have the following meanings:</w:t>
      </w:r>
    </w:p>
    <w:p>
      <w:pPr>
        <w:spacing w:after="0" w:line="17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2"/>
          <w:szCs w:val="22"/>
          <w:color w:val="auto"/>
        </w:rPr>
        <w:t>1.1 “Cause” shall, prior to, or more than two years following, a Change in Control, be deemed to exist upon (a) the Executive’s refusal to perform (i) the Executive’s assigned duties for the Company or (ii) the Executive’s obligations under this Agreement; (b) conduct of the Executive involving fraud, gross negligence or willful misconduct which causes significant harm to the Company or damages the reputation of the Company; (c) the Executive’s conviction of, or the entry of a pleading of guilty or nolo contendere by the Executive to, any crime involving moral turpitude or any felony; (d) the Executive’s fraud, embezzlement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59" w:name="page60"/>
    <w:bookmarkEnd w:id="59"/>
    <w:p>
      <w:pPr>
        <w:spacing w:after="0" w:line="209" w:lineRule="auto"/>
        <w:rPr>
          <w:sz w:val="20"/>
          <w:szCs w:val="20"/>
          <w:color w:val="auto"/>
        </w:rPr>
      </w:pPr>
      <w:r>
        <w:rPr>
          <w:rFonts w:ascii="Times New Roman" w:cs="Times New Roman" w:eastAsia="Times New Roman" w:hAnsi="Times New Roman"/>
          <w:sz w:val="22"/>
          <w:szCs w:val="22"/>
          <w:color w:val="auto"/>
        </w:rPr>
        <w:t>intentional misappropriation from the Company; (e) the Executive’s material breach of a material agreement with the Company or of any material policies, rules or regulations of employment which may be adopted or amended from time to time by the Company and provided to the Executive or of which the Executive is otherwise made aware; (f) unauthorized use or disclosure of the Company’s confidential information or trade secrets, which use or disclosure causes significant harm to the Company; (g) failure to cooperate in good faith with a governmental or internal investigation of the Company or its directors, officers or employees, if the Company has requested such cooperation, or (h) an intentional violation of federal or state securities laws; provided, however, that the Company may not terminate the Executive’s employment for Cause unless (x) the Company gives written notice of its intent to terminate the Executive’s employment (including the reasons therefor) and (y) with respect to any alleged violation of clause (a), (b), (e), (f) or (g) above, the Executive fails to cure such refusal or material breach (if the breach is subject to cure) within thirty (30) days of the Executive’s receipt of such written notice (which, if so cured within such thirty (30)-day period, shall no longer be a grounds for termination of the Executive’s employment for “Cause”). The Company’s financial performance shall not in and of itself constitute a basis for the Company to terminate the Executive for Cause or (except to the extent that financial performance triggers the Clawback Policy in a manner that affects any post-employment payments or benefits) refuse to provide any severance benefits under this Agreement;</w:t>
      </w:r>
    </w:p>
    <w:p>
      <w:pPr>
        <w:spacing w:after="0" w:line="156" w:lineRule="exact"/>
        <w:rPr>
          <w:sz w:val="20"/>
          <w:szCs w:val="20"/>
          <w:color w:val="auto"/>
        </w:rPr>
      </w:pPr>
    </w:p>
    <w:p>
      <w:pPr>
        <w:ind w:right="40" w:firstLine="1296"/>
        <w:spacing w:after="0" w:line="208" w:lineRule="auto"/>
        <w:rPr>
          <w:sz w:val="20"/>
          <w:szCs w:val="20"/>
          <w:color w:val="auto"/>
        </w:rPr>
      </w:pPr>
      <w:r>
        <w:rPr>
          <w:rFonts w:ascii="Times New Roman" w:cs="Times New Roman" w:eastAsia="Times New Roman" w:hAnsi="Times New Roman"/>
          <w:sz w:val="22"/>
          <w:szCs w:val="22"/>
          <w:color w:val="auto"/>
        </w:rPr>
        <w:t>1.2 “Cause” shall, within two (2) years following a Change in Control, be defined as (a) repeated violations by the Executive of the Executive’s obligations under this Agreement (other than as a result of Disability) or refusal to perform the Executive’s assigned duties, in either case which are demonstrably willful and deliberate on the Executive’s part, and which are committed in bad faith or without reasonable belief that such violations are in the best interests of the Company; (b) the conviction of the Executive of, or entry of a pleading of guilty or nolo contendere by the Executive to, a felony involving moral turpitude, (c) the Executive’s fraud, embezzlement or other intentional misappropriation from the Company; (d) the Executive’s material breach of a material agreement with the Company or of any material policies, rules or regulations of employment which may be adopted or amended from time to time by the Company and provided to the Executive or of which the Executive is otherwise made aware; (e) unauthorized use or disclosure of the Company’s confidential information or trade secrets, which use or disclosure causes significant harm to the Company; (f) failure to cooperate in good faith with a governmental or internal investigation of the Company or its directors, officers or employees, if the Company has requested such cooperation, or (g) an intentional violation of federal or state securities laws; provided, however, that the Company may not terminate the Executive’s employment for Cause unless (x) the Company gives written notice of its intent to terminate the Executive’s employment (including the reasons therefor) and (y) with respect to any alleged violation of clause (a), (b), (d), (e) or (f) above, the Executive fails to cure such refusal or material breach (if the breach is subject to cure) within thirty (30) days of the Executive’s receipt of such written notice (which, if so cured within such thirty (30)-day period, shall no longer be a grounds for termination of the Executive’s employment for “Cause”).</w:t>
      </w:r>
    </w:p>
    <w:p>
      <w:pPr>
        <w:spacing w:after="0" w:line="161"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2"/>
          <w:szCs w:val="22"/>
          <w:color w:val="auto"/>
        </w:rPr>
        <w:t>1.3 “Change in Control” means the occurrence of any one of the following events: (i) sale of all or substantially all (at least 85%) of the consolidated assets of the Company to one or more individuals, entities, or groups (other than an “Excluded Owner”, as defined below); (ii) acquisition or attainment of ownership by a person, entity, or group (other than an Excluded Owner) of more than 50% of the undiluted total voting power of the Company’s then-outstanding securities eligible to vote to elect members of the Board (“Company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395" w:right="359" w:bottom="1440" w:gutter="0" w:footer="0" w:header="0"/>
        </w:sectPr>
      </w:pPr>
    </w:p>
    <w:bookmarkStart w:id="60" w:name="page61"/>
    <w:bookmarkEnd w:id="60"/>
    <w:p>
      <w:pPr>
        <w:ind w:right="40"/>
        <w:spacing w:after="0" w:line="219" w:lineRule="auto"/>
        <w:rPr>
          <w:sz w:val="20"/>
          <w:szCs w:val="20"/>
          <w:color w:val="auto"/>
        </w:rPr>
      </w:pPr>
      <w:r>
        <w:rPr>
          <w:rFonts w:ascii="Times New Roman" w:cs="Times New Roman" w:eastAsia="Times New Roman" w:hAnsi="Times New Roman"/>
          <w:sz w:val="21"/>
          <w:szCs w:val="21"/>
          <w:color w:val="auto"/>
        </w:rPr>
        <w:t>Securities”); (iii) completion of a merger or consolidation of the Company with or into any other entity (other than an Excluded Owner) unless the holders of the Company Voting Securities outstanding immediately before such completion, together with any trustee or other fiduciary holding securities under a Hasbro benefit plan, hold securities that represent immediately after such merger or consolidation more than 50% of the combined voting power of the then outstanding voting securities of either Hasbro or the other surviving entity or its ultimate parent; or (iv) individuals who constitute the Board on the date hereof (“Incumbent Directors”) cease for any reason during a 12 month period to constitute at least a majority of the Board; 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that any individual who becomes a member of the Board subsequent to the date hereof, whose election or nomination for election was approved by a vote of at least a majority of the Incumbent Directors, shall be treated as an Incumbent Director unless he assumed office as a result of an actual or threatened election contest with respect to the election or removal of directors. For purposes of this Agreement, an “Excluded Owner” consists of Hasbro, any entity owned, directly or indirectly, at least 50% by Hasbro, any entity that, directly or indirectly, owns at least 50% of Hasbro, any Hasbro benefit plan, and any underwriter temporarily holding securities for an offering of such securities. Notwithstanding the foregoing, where required to avoid extra taxation under Section 409A, a Change in Control must also satisfy the requirements of Treas. Reg. Section 1.409A-3(a)(5).</w:t>
      </w:r>
    </w:p>
    <w:p>
      <w:pPr>
        <w:spacing w:after="0" w:line="159" w:lineRule="exact"/>
        <w:rPr>
          <w:sz w:val="20"/>
          <w:szCs w:val="20"/>
          <w:color w:val="auto"/>
        </w:rPr>
      </w:pPr>
    </w:p>
    <w:p>
      <w:pPr>
        <w:ind w:firstLine="1296"/>
        <w:spacing w:after="0" w:line="220" w:lineRule="auto"/>
        <w:rPr>
          <w:sz w:val="20"/>
          <w:szCs w:val="20"/>
          <w:color w:val="auto"/>
        </w:rPr>
      </w:pPr>
      <w:r>
        <w:rPr>
          <w:rFonts w:ascii="Times New Roman" w:cs="Times New Roman" w:eastAsia="Times New Roman" w:hAnsi="Times New Roman"/>
          <w:sz w:val="22"/>
          <w:szCs w:val="22"/>
          <w:color w:val="auto"/>
        </w:rPr>
        <w:t>1.4 “Disability” means the Executive’s inability, due to a physical or mental disability, for a period of one hundred and eighty (180) consecutive days, to perform the services contemplated under this Agreement, with reasonable accommodation. A determination of Disability shall be made by a physician selected by the Company and reasonably satisfactory to the Executive.</w:t>
      </w:r>
    </w:p>
    <w:p>
      <w:pPr>
        <w:spacing w:after="0" w:line="152" w:lineRule="exact"/>
        <w:rPr>
          <w:sz w:val="20"/>
          <w:szCs w:val="20"/>
          <w:color w:val="auto"/>
        </w:rPr>
      </w:pPr>
    </w:p>
    <w:p>
      <w:pPr>
        <w:ind w:firstLine="1296"/>
        <w:spacing w:after="0" w:line="220" w:lineRule="auto"/>
        <w:rPr>
          <w:sz w:val="20"/>
          <w:szCs w:val="20"/>
          <w:color w:val="auto"/>
        </w:rPr>
      </w:pPr>
      <w:r>
        <w:rPr>
          <w:rFonts w:ascii="Times New Roman" w:cs="Times New Roman" w:eastAsia="Times New Roman" w:hAnsi="Times New Roman"/>
          <w:sz w:val="21"/>
          <w:szCs w:val="21"/>
          <w:color w:val="auto"/>
        </w:rPr>
        <w:t>1.5 “Good Reason” means, prior to, or more than two years following, a Change in Control, termination by the Executive of his employment, upon thirty (30) days’ written notice, for any of the following reasons: (a) a material reduction in the Base Salary or Annual Bonus opportunity or target annual long-term incentive opportunity (under Section 4.3), without his consent, unless such reduction is due to a generally applicable reduction in the compensation of the Company’s senior executives,</w:t>
      </w:r>
    </w:p>
    <w:p>
      <w:pPr>
        <w:spacing w:after="0" w:line="3" w:lineRule="exact"/>
        <w:rPr>
          <w:sz w:val="20"/>
          <w:szCs w:val="20"/>
          <w:color w:val="auto"/>
        </w:rPr>
      </w:pPr>
    </w:p>
    <w:p>
      <w:pPr>
        <w:ind w:right="80" w:firstLine="8"/>
        <w:spacing w:after="0" w:line="214" w:lineRule="auto"/>
        <w:tabs>
          <w:tab w:leader="none" w:pos="30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no longer serves as Chief Executive Officer of the Company, (c) the Executive is demoted by being required to report to someone other than the Board, (d) a material breach by the Company of a material provision of this Agreement, or (e) any relocation of the Executive’s principal place of employment from the Company’s corporate headquarters in Pawtucket, Rhode Island by more than fifty (50) miles, where the Executive does not consent to such relocation.</w:t>
      </w:r>
    </w:p>
    <w:p>
      <w:pPr>
        <w:spacing w:after="0" w:line="154" w:lineRule="exact"/>
        <w:rPr>
          <w:sz w:val="20"/>
          <w:szCs w:val="20"/>
          <w:color w:val="auto"/>
        </w:rPr>
      </w:pPr>
    </w:p>
    <w:p>
      <w:pPr>
        <w:ind w:right="340" w:firstLine="1296"/>
        <w:spacing w:after="0" w:line="236" w:lineRule="auto"/>
        <w:rPr>
          <w:sz w:val="20"/>
          <w:szCs w:val="20"/>
          <w:color w:val="auto"/>
        </w:rPr>
      </w:pPr>
      <w:r>
        <w:rPr>
          <w:rFonts w:ascii="Times New Roman" w:cs="Times New Roman" w:eastAsia="Times New Roman" w:hAnsi="Times New Roman"/>
          <w:sz w:val="22"/>
          <w:szCs w:val="22"/>
          <w:color w:val="auto"/>
        </w:rPr>
        <w:t>1.6 “Good Reason” shall, within two (2) years following a Change in Control, be defined as set forth in the Hasbro, Inc. Change in Control Severance Plan for Designated Senior Executives, as it exists as of the Effective Date.</w:t>
      </w:r>
    </w:p>
    <w:p>
      <w:pPr>
        <w:spacing w:after="0" w:line="150"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2"/>
          <w:szCs w:val="22"/>
          <w:color w:val="auto"/>
        </w:rPr>
        <w:t>1.7 Notwithstanding the provisions of Sections 11.5 and 11.6, the Executive may not terminate his employment for “Good Reason” unless (a) he gives written notice of his intent to terminate his employment under this provision (including the reasons therefor) within thirty (30) days of the event giving rise to the right to terminate, and (b) the Company fails to cure the material reduction or material breach of a material provision, or restore the Executive’s title within thirty (30) days of its receipt of the Executive’s written notice, which, if so cured within such 30-day period, shall no longer be a grounds by the Executive for terminating his employment with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395" w:right="359" w:bottom="1440" w:gutter="0" w:footer="0" w:header="0"/>
        </w:sectPr>
      </w:pPr>
    </w:p>
    <w:bookmarkStart w:id="61" w:name="page62"/>
    <w:bookmarkEnd w:id="61"/>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180"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This Agreement, the Company’s form of Invention Assignment Agreement, which is being re-executed simultaneously herewith, and the forms of equity grant agreements accepted by the Executive, constitute the entire understanding and agreement between the parties hereto with regard to the subject matter hereof and supersedes all prior understandings and agreements, whether written or oral. The Executive is not relying on any representations other than those set forth in this Agreement. This Agreement replaces the benefits to the Executive under the Hasbro, Inc. Change in Control Severance Plan for Designated Senior Executives, and the Executive acknowledges that he no longer participates in such plan as long as this Agreement, or any successor agreement, is in place.</w:t>
      </w:r>
    </w:p>
    <w:p>
      <w:pPr>
        <w:spacing w:after="0" w:line="156" w:lineRule="exact"/>
        <w:rPr>
          <w:sz w:val="20"/>
          <w:szCs w:val="20"/>
          <w:color w:val="auto"/>
        </w:rPr>
      </w:pPr>
    </w:p>
    <w:p>
      <w:pPr>
        <w:ind w:right="20"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delivered under this Agreement shall be deemed duly delivered three (3) business days after it is sent by registered or certified mail, return receipt requested, postage prepaid, or one business day after it is sent for next-business day delivery via a reputable nationwide overnight courier service, to the Company at its principal headquarters and to the Executive at the address most recently shown on the personnel records of the Company. Either party may change the address to which notices are to be delivered by giving notice of such change to the other party in the manner set forth in this Section 12.2.</w:t>
      </w:r>
    </w:p>
    <w:p>
      <w:pPr>
        <w:spacing w:after="0" w:line="152" w:lineRule="exact"/>
        <w:rPr>
          <w:sz w:val="20"/>
          <w:szCs w:val="20"/>
          <w:color w:val="auto"/>
        </w:rPr>
      </w:pPr>
    </w:p>
    <w:p>
      <w:pPr>
        <w:ind w:right="28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Pronouns</w:t>
      </w:r>
      <w:r>
        <w:rPr>
          <w:rFonts w:ascii="Times New Roman" w:cs="Times New Roman" w:eastAsia="Times New Roman" w:hAnsi="Times New Roman"/>
          <w:sz w:val="22"/>
          <w:szCs w:val="22"/>
          <w:color w:val="auto"/>
        </w:rPr>
        <w:t>. Whenever the context may require, any pronouns used in this Agreement shall include the corresponding masculine, feminine or neuter forms, and the singular forms of nouns and pronouns shall include the plural, and vice versa.</w:t>
      </w:r>
    </w:p>
    <w:p>
      <w:pPr>
        <w:spacing w:after="0" w:line="152" w:lineRule="exact"/>
        <w:rPr>
          <w:sz w:val="20"/>
          <w:szCs w:val="20"/>
          <w:color w:val="auto"/>
        </w:rPr>
      </w:pPr>
    </w:p>
    <w:p>
      <w:pPr>
        <w:ind w:right="10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Amendmen</w:t>
      </w:r>
      <w:r>
        <w:rPr>
          <w:rFonts w:ascii="Times New Roman" w:cs="Times New Roman" w:eastAsia="Times New Roman" w:hAnsi="Times New Roman"/>
          <w:sz w:val="22"/>
          <w:szCs w:val="22"/>
          <w:color w:val="auto"/>
        </w:rPr>
        <w:t>t. This Agreement may be amended or modified only by a written instrument executed by both the Company and the Executive and approved by the Board.</w:t>
      </w:r>
    </w:p>
    <w:p>
      <w:pPr>
        <w:spacing w:after="0" w:line="150" w:lineRule="exact"/>
        <w:rPr>
          <w:sz w:val="20"/>
          <w:szCs w:val="20"/>
          <w:color w:val="auto"/>
        </w:rPr>
      </w:pPr>
    </w:p>
    <w:p>
      <w:pPr>
        <w:ind w:right="100"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Rhode Island (without reference to the conflicts of laws provisions thereof). Any action, suit or other legal proceeding arising under or relating to any provision of this Agreement shall be commenced only in a court of the State of Rhode Island (or, if appropriate, a federal court located within Rhode Island),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52" w:lineRule="exact"/>
        <w:rPr>
          <w:sz w:val="20"/>
          <w:szCs w:val="20"/>
          <w:color w:val="auto"/>
        </w:rPr>
      </w:pPr>
    </w:p>
    <w:p>
      <w:pPr>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both parties and their respective successors and assigns, including any corporation with which or into which Hasbro may be merged or which may succeed to its assets or business; provided, however, that the Executive’s obligations are personal and shall not be assigned by the Executive. Unless such result is achieved by operation of law, the Company will require any successor (whether direct or indirect, by purchase, merger, consolidation or otherwise) to all or substantially all of the business and/or assets of Hasbro to assume expressly and agree to perform this Agreement in the same manner and to the same extent that Hasbro would be required to perform it if no such succession had taken place. As used in this Agreement, “Hasbro” or “the Company” shall mean Hasbro as hereinbefore defined and any successor to its business and/or assets as aforesaid which assumes and agrees to perform this Agreement by operation of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62" w:name="page63"/>
    <w:bookmarkEnd w:id="62"/>
    <w:p>
      <w:pPr>
        <w:ind w:right="6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52" w:lineRule="exact"/>
        <w:rPr>
          <w:sz w:val="20"/>
          <w:szCs w:val="20"/>
          <w:color w:val="auto"/>
        </w:rPr>
      </w:pPr>
    </w:p>
    <w:p>
      <w:pPr>
        <w:ind w:right="2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of the sections of this Agreement are for convenience of reference only and in no way define, limit or affect the scope or substance of any section of this Agreement.</w:t>
      </w:r>
    </w:p>
    <w:p>
      <w:pPr>
        <w:spacing w:after="0" w:line="150" w:lineRule="exact"/>
        <w:rPr>
          <w:sz w:val="20"/>
          <w:szCs w:val="20"/>
          <w:color w:val="auto"/>
        </w:rPr>
      </w:pPr>
    </w:p>
    <w:p>
      <w:pPr>
        <w:ind w:right="18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provision of this Agreement shall be invalid, illegal or otherwise unenforceable, the validity, legality and enforceability of the remaining provisions shall in no way be affected or impaired thereby.</w:t>
      </w:r>
    </w:p>
    <w:p>
      <w:pPr>
        <w:spacing w:after="0" w:line="150" w:lineRule="exact"/>
        <w:rPr>
          <w:sz w:val="20"/>
          <w:szCs w:val="20"/>
          <w:color w:val="auto"/>
        </w:rPr>
      </w:pPr>
    </w:p>
    <w:p>
      <w:pPr>
        <w:jc w:val="both"/>
        <w:ind w:right="2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u w:val="single" w:color="auto"/>
          <w:color w:val="auto"/>
        </w:rPr>
        <w:t>Executive’s Acknowledgments</w:t>
      </w:r>
      <w:r>
        <w:rPr>
          <w:rFonts w:ascii="Times New Roman" w:cs="Times New Roman" w:eastAsia="Times New Roman" w:hAnsi="Times New Roman"/>
          <w:sz w:val="22"/>
          <w:szCs w:val="22"/>
          <w:color w:val="auto"/>
        </w:rPr>
        <w:t>. The Executive acknowledges that he: (i) has read this Agreement; (ii) has been represented in the preparation, negotiation, and execution of this Agreement by legal counsel of the Executive’s own choice or has voluntarily declined to seek such counsel; (iii) understands the terms and consequences of this Agreement; and (iv) is fully aware of the legal and binding effect of this Agreement.</w:t>
      </w:r>
    </w:p>
    <w:p>
      <w:pPr>
        <w:spacing w:after="0" w:line="152" w:lineRule="exact"/>
        <w:rPr>
          <w:sz w:val="20"/>
          <w:szCs w:val="20"/>
          <w:color w:val="auto"/>
        </w:rPr>
      </w:pPr>
    </w:p>
    <w:p>
      <w:pPr>
        <w:ind w:firstLine="1296"/>
        <w:spacing w:after="0" w:line="20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intent of the parties is that payments and benefits under this Agreement comply with, or be exempt from, Section 409A of the Code and the regulations and guidance promulgated thereunder (collectively, “Code Section 409A”) and this Agreement shall be interpreted consistently therewith. 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that this clause (ii) shall not be violated with regard to expenses reimbursed under any arrangement covered by Section 105(a) of the Code solely because such expenses are subject to a limit related to the period the arrangement is in effect, and (iii) such payments shall be made on or before the last day of the Executive’s taxable year following the taxable year in which the expense occurred, provided that any tax gross-ups may be reimbursed by the end of the calendar year following the calendar year in which such taxes are remitted to the taxing authorities. For purposes of Code Section 409A, each payment hereunder shall be treated as a separate payment and the Executive’s right to receive any installment payments pursuant to this Agreement shall be treated as a right to receive a series of separate and distinct payments. In no event may the Executive, directly or indirectly, designate the calendar year of any payment to be made under this Agreement that is considered nonqualified deferred compensation. Termination of employment as used herein shall mean separation from service within the meaning of Code Section 409A. Notwithstanding anything in this Agreement to the contrary, to the extent required by Code Section 409A, if the Executive is considered a “specified employee” for purposes of Code Section 409A of the Code and if payment of any amounts under this Agreement is required to be delayed for a period of six (6) months after separation from service pursuant to Code Section 409A, payments of such amounts shall be delayed as required by Code Section 409A, and the accumulated amounts shall be paid in a lump sum payment within ten (10) days after the end of the six (6)-month period. If the Executive dies during the postponement period prior to the payment of benefits, the amounts withheld on account of Code Section 409A shall be paid to the personal representative of the Executive’s estate within sixty (60) days after the date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395" w:right="359" w:bottom="1440" w:gutter="0" w:footer="0" w:header="0"/>
        </w:sectPr>
      </w:pPr>
    </w:p>
    <w:bookmarkStart w:id="63" w:name="page64"/>
    <w:bookmarkEnd w:id="63"/>
    <w:p>
      <w:pPr>
        <w:spacing w:after="0" w:line="220" w:lineRule="auto"/>
        <w:rPr>
          <w:sz w:val="20"/>
          <w:szCs w:val="20"/>
          <w:color w:val="auto"/>
        </w:rPr>
      </w:pPr>
      <w:r>
        <w:rPr>
          <w:rFonts w:ascii="Times New Roman" w:cs="Times New Roman" w:eastAsia="Times New Roman" w:hAnsi="Times New Roman"/>
          <w:sz w:val="22"/>
          <w:szCs w:val="22"/>
          <w:color w:val="auto"/>
        </w:rPr>
        <w:t>Executive’s death. The Company is not making any representation or warranty to the Executive with respect to the treatment of this Agreement under Code Section 409A and shall have no liability to Executive or any other person with respect to payments or benefits under this Agreement should any payments or benefits under this Agreement be determined to constitute nonqualified deferred compensation subject to Code Section 409A but not satisfying the conditions of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is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395" w:right="359" w:bottom="1440" w:gutter="0" w:footer="0" w:header="0"/>
        </w:sectPr>
      </w:pPr>
    </w:p>
    <w:bookmarkStart w:id="64" w:name="page65"/>
    <w:bookmarkEnd w:id="64"/>
    <w:p>
      <w:pPr>
        <w:ind w:left="64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dates set forth below.</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HASBRO, INC.</w:t>
            </w:r>
          </w:p>
        </w:tc>
        <w:tc>
          <w:tcPr>
            <w:tcW w:w="22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27"/>
        </w:trPr>
        <w:tc>
          <w:tcPr>
            <w:tcW w:w="534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By: /s/Richard Stoddart</w:t>
            </w:r>
          </w:p>
        </w:tc>
        <w:tc>
          <w:tcPr>
            <w:tcW w:w="564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auto"/>
              </w:rPr>
              <w:t>Date: January 5, 2022</w:t>
            </w:r>
          </w:p>
        </w:tc>
      </w:tr>
      <w:tr>
        <w:trPr>
          <w:trHeight w:val="251"/>
        </w:trPr>
        <w:tc>
          <w:tcPr>
            <w:tcW w:w="1100" w:type="dxa"/>
            <w:vAlign w:val="bottom"/>
          </w:tcPr>
          <w:p>
            <w:pPr>
              <w:ind w:left="520"/>
              <w:spacing w:after="0" w:line="251" w:lineRule="exact"/>
              <w:rPr>
                <w:sz w:val="20"/>
                <w:szCs w:val="20"/>
                <w:color w:val="auto"/>
              </w:rPr>
            </w:pPr>
            <w:r>
              <w:rPr>
                <w:rFonts w:ascii="Times New Roman" w:cs="Times New Roman" w:eastAsia="Times New Roman" w:hAnsi="Times New Roman"/>
                <w:sz w:val="22"/>
                <w:szCs w:val="22"/>
                <w:color w:val="auto"/>
                <w:w w:val="95"/>
              </w:rPr>
              <w:t>Name:</w:t>
            </w:r>
          </w:p>
        </w:tc>
        <w:tc>
          <w:tcPr>
            <w:tcW w:w="4240" w:type="dxa"/>
            <w:vAlign w:val="bottom"/>
            <w:tcBorders>
              <w:top w:val="single" w:sz="8" w:color="auto"/>
            </w:tcBorders>
          </w:tcPr>
          <w:p>
            <w:pPr>
              <w:ind w:left="60"/>
              <w:spacing w:after="0" w:line="251" w:lineRule="exact"/>
              <w:rPr>
                <w:sz w:val="20"/>
                <w:szCs w:val="20"/>
                <w:color w:val="auto"/>
              </w:rPr>
            </w:pPr>
            <w:r>
              <w:rPr>
                <w:rFonts w:ascii="Times New Roman" w:cs="Times New Roman" w:eastAsia="Times New Roman" w:hAnsi="Times New Roman"/>
                <w:sz w:val="22"/>
                <w:szCs w:val="22"/>
                <w:color w:val="auto"/>
              </w:rPr>
              <w:t>Richard Stoddart</w:t>
            </w:r>
          </w:p>
        </w:tc>
        <w:tc>
          <w:tcPr>
            <w:tcW w:w="2260" w:type="dxa"/>
            <w:vAlign w:val="bottom"/>
          </w:tcPr>
          <w:p>
            <w:pPr>
              <w:spacing w:after="0"/>
              <w:rPr>
                <w:sz w:val="21"/>
                <w:szCs w:val="21"/>
                <w:color w:val="auto"/>
              </w:rPr>
            </w:pPr>
          </w:p>
        </w:tc>
        <w:tc>
          <w:tcPr>
            <w:tcW w:w="3380" w:type="dxa"/>
            <w:vAlign w:val="bottom"/>
            <w:tcBorders>
              <w:top w:val="single" w:sz="8" w:color="auto"/>
            </w:tcBorders>
          </w:tcPr>
          <w:p>
            <w:pPr>
              <w:spacing w:after="0"/>
              <w:rPr>
                <w:sz w:val="21"/>
                <w:szCs w:val="21"/>
                <w:color w:val="auto"/>
              </w:rPr>
            </w:pPr>
          </w:p>
        </w:tc>
      </w:tr>
      <w:tr>
        <w:trPr>
          <w:trHeight w:val="282"/>
        </w:trPr>
        <w:tc>
          <w:tcPr>
            <w:tcW w:w="534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Title: Interim Chief Executive Officer</w:t>
            </w:r>
          </w:p>
        </w:tc>
        <w:tc>
          <w:tcPr>
            <w:tcW w:w="22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40"/>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EXECUTIVE:</w:t>
            </w:r>
          </w:p>
        </w:tc>
        <w:tc>
          <w:tcPr>
            <w:tcW w:w="22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41"/>
        </w:trPr>
        <w:tc>
          <w:tcPr>
            <w:tcW w:w="1100" w:type="dxa"/>
            <w:vAlign w:val="bottom"/>
          </w:tcPr>
          <w:p>
            <w:pPr>
              <w:spacing w:after="0"/>
              <w:rPr>
                <w:sz w:val="24"/>
                <w:szCs w:val="24"/>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Christian P. Cocks</w:t>
            </w:r>
          </w:p>
        </w:tc>
        <w:tc>
          <w:tcPr>
            <w:tcW w:w="564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auto"/>
              </w:rPr>
              <w:t>Date: January 5, 2022</w:t>
            </w:r>
          </w:p>
        </w:tc>
      </w:tr>
      <w:tr>
        <w:trPr>
          <w:trHeight w:val="695"/>
        </w:trPr>
        <w:tc>
          <w:tcPr>
            <w:tcW w:w="1100" w:type="dxa"/>
            <w:vAlign w:val="bottom"/>
          </w:tcPr>
          <w:p>
            <w:pPr>
              <w:spacing w:after="0"/>
              <w:rPr>
                <w:sz w:val="24"/>
                <w:szCs w:val="24"/>
                <w:color w:val="auto"/>
              </w:rPr>
            </w:pPr>
          </w:p>
        </w:tc>
        <w:tc>
          <w:tcPr>
            <w:tcW w:w="4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Christian (Chris) Page Cocks</w:t>
            </w:r>
          </w:p>
        </w:tc>
        <w:tc>
          <w:tcPr>
            <w:tcW w:w="2260" w:type="dxa"/>
            <w:vAlign w:val="bottom"/>
          </w:tcPr>
          <w:p>
            <w:pPr>
              <w:spacing w:after="0"/>
              <w:rPr>
                <w:sz w:val="24"/>
                <w:szCs w:val="24"/>
                <w:color w:val="auto"/>
              </w:rPr>
            </w:pPr>
          </w:p>
        </w:tc>
        <w:tc>
          <w:tcPr>
            <w:tcW w:w="338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980"/>
          </w:cols>
          <w:pgMar w:left="340" w:top="1395" w:right="57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5840095</wp:posOffset>
            </wp:positionH>
            <wp:positionV relativeFrom="page">
              <wp:posOffset>88900</wp:posOffset>
            </wp:positionV>
            <wp:extent cx="685800" cy="7112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85800" cy="71120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5,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Eric C. Nyman</w:t>
      </w:r>
    </w:p>
    <w:p>
      <w:pPr>
        <w:spacing w:after="0" w:line="217" w:lineRule="auto"/>
        <w:rPr>
          <w:sz w:val="20"/>
          <w:szCs w:val="20"/>
          <w:color w:val="auto"/>
        </w:rPr>
      </w:pPr>
      <w:r>
        <w:rPr>
          <w:rFonts w:ascii="Times New Roman" w:cs="Times New Roman" w:eastAsia="Times New Roman" w:hAnsi="Times New Roman"/>
          <w:sz w:val="22"/>
          <w:szCs w:val="22"/>
          <w:color w:val="auto"/>
        </w:rPr>
        <w:t>[**REDACTED**]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[**REDACTED**]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Eric,</w:t>
      </w:r>
    </w:p>
    <w:p>
      <w:pPr>
        <w:spacing w:after="0" w:line="179" w:lineRule="exact"/>
        <w:rPr>
          <w:sz w:val="20"/>
          <w:szCs w:val="20"/>
          <w:color w:val="auto"/>
        </w:rPr>
      </w:pPr>
    </w:p>
    <w:p>
      <w:pPr>
        <w:ind w:right="20" w:firstLine="648"/>
        <w:spacing w:after="0" w:line="231" w:lineRule="auto"/>
        <w:rPr>
          <w:sz w:val="20"/>
          <w:szCs w:val="20"/>
          <w:color w:val="auto"/>
        </w:rPr>
      </w:pPr>
      <w:r>
        <w:rPr>
          <w:rFonts w:ascii="Times New Roman" w:cs="Times New Roman" w:eastAsia="Times New Roman" w:hAnsi="Times New Roman"/>
          <w:sz w:val="21"/>
          <w:szCs w:val="21"/>
          <w:color w:val="auto"/>
        </w:rPr>
        <w:t>We value you as a key member of our leadership team, and we are pleased to promote you to President and Chief Operating Officer of Hasbro, Inc. (the “Company”). Your contributions are important to the success of our strategic plans. We desire to set forth certain terms of your employment with us pursuant to this letter agreement. Except as set forth below, the terms of your employment will be governed by the Company’s plans and policies, as they are in effect and amended from time to time.</w:t>
      </w:r>
    </w:p>
    <w:p>
      <w:pPr>
        <w:spacing w:after="0" w:line="145" w:lineRule="exact"/>
        <w:rPr>
          <w:sz w:val="20"/>
          <w:szCs w:val="20"/>
          <w:color w:val="auto"/>
        </w:rPr>
      </w:pPr>
    </w:p>
    <w:p>
      <w:pPr>
        <w:ind w:right="40" w:firstLine="656"/>
        <w:spacing w:after="0" w:line="206"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Role:</w:t>
      </w:r>
      <w:r>
        <w:rPr>
          <w:rFonts w:ascii="Times New Roman" w:cs="Times New Roman" w:eastAsia="Times New Roman" w:hAnsi="Times New Roman"/>
          <w:sz w:val="22"/>
          <w:szCs w:val="22"/>
          <w:color w:val="auto"/>
        </w:rPr>
        <w:t xml:space="preserve"> You will serve as President and Chief Operating Officer of Hasbro, Inc. commencing as of February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2022 (the “Effective Date”). Until the Effective Date, you will continue to perform your current duties, and you will also work closely with Chris Cocks, Richard Stoddart and the other members of the Company’s management team and the Board of Directors (the “Board”) to prepare for your transition into the role of President and Chief Operating Officer, the timing of which will coincide with Mr. Cocks transitioning into the role of Chief Executive Officer. Following the Effective Date, you shall report directly to, and be subject to the supervision of, the Company’s Chief Executive Officer.</w:t>
      </w:r>
    </w:p>
    <w:p>
      <w:pPr>
        <w:spacing w:after="0" w:line="155" w:lineRule="exact"/>
        <w:rPr>
          <w:rFonts w:ascii="Times New Roman" w:cs="Times New Roman" w:eastAsia="Times New Roman" w:hAnsi="Times New Roman"/>
          <w:sz w:val="22"/>
          <w:szCs w:val="22"/>
          <w:color w:val="auto"/>
        </w:rPr>
      </w:pPr>
    </w:p>
    <w:p>
      <w:pPr>
        <w:ind w:right="100" w:firstLine="656"/>
        <w:spacing w:after="0" w:line="207"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your employment as President and Chief Operating Officer of the Company will commence on the Effective Date and will end on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2023 (the “Term” or the “Employment Period”, and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2023 is referred to as the “End Date”), unless earlier terminated or extended.</w:t>
      </w:r>
    </w:p>
    <w:p>
      <w:pPr>
        <w:spacing w:after="0" w:line="149" w:lineRule="exact"/>
        <w:rPr>
          <w:rFonts w:ascii="Times New Roman" w:cs="Times New Roman" w:eastAsia="Times New Roman" w:hAnsi="Times New Roman"/>
          <w:sz w:val="22"/>
          <w:szCs w:val="22"/>
          <w:color w:val="auto"/>
        </w:rPr>
      </w:pPr>
    </w:p>
    <w:p>
      <w:pPr>
        <w:ind w:right="20" w:firstLine="656"/>
        <w:spacing w:after="0" w:line="215"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of the Effective Date, your base salary (the “Base Salary”) will be payable at an annualized rate of $1,100,000, and in periodic installments in accordance with the Company’s customary payroll practices. Your base salary shall be reviewed periodically in accordance with the Company’s compensation guidelines for senior executives, and may be upwardly adjusted to the extent, if any, deemed appropriate by Hasbro’s Compensation Committee of the Board (the “Compensation Committee”) and the full Board; provided, however, that your Base Salary may be reduced proportionally if in connection with a generally applicable reduction in the compensation of all of the Company’s senior executives.</w:t>
      </w:r>
    </w:p>
    <w:p>
      <w:pPr>
        <w:spacing w:after="0" w:line="152" w:lineRule="exact"/>
        <w:rPr>
          <w:rFonts w:ascii="Times New Roman" w:cs="Times New Roman" w:eastAsia="Times New Roman" w:hAnsi="Times New Roman"/>
          <w:sz w:val="22"/>
          <w:szCs w:val="22"/>
          <w:color w:val="auto"/>
        </w:rPr>
      </w:pPr>
    </w:p>
    <w:p>
      <w:pPr>
        <w:ind w:right="20" w:firstLine="656"/>
        <w:spacing w:after="0" w:line="222" w:lineRule="auto"/>
        <w:tabs>
          <w:tab w:leader="none" w:pos="129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Management Incentive Plan Bonus</w:t>
      </w:r>
      <w:r>
        <w:rPr>
          <w:rFonts w:ascii="Times New Roman" w:cs="Times New Roman" w:eastAsia="Times New Roman" w:hAnsi="Times New Roman"/>
          <w:sz w:val="21"/>
          <w:szCs w:val="21"/>
          <w:color w:val="auto"/>
        </w:rPr>
        <w:t xml:space="preserve">. Beginning with the Company’s 2022 fiscal year, you will be eligible to receive an annual management incentive plan bonus based on a target (the “Target Bonus”) of one hundred percent (100%) of your earned Base Salary for the incentive year (the “Annual Bonus”), subject to the performance criteria set forth below. For each fiscal year thereafter that this Agreement is in effect, your Target Bonus shall be reviewed periodically in accordance with the Company’s compensation philosophy, market conditions and other factors deemed relevant by the Compensation Committee, and upwardly adjusted to the extent, if any, deemed appropriate by the Compensation Committee and the Board;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your Target Bonus may be reduced proportionally if in connection with a generally applicable reduction in the target bonuses of all of the Company’s senior executives. The corporate performance criteria and targets to be used for purposes of the annual management incentive plan (the “Annual Performance Plan”) bonus shall be determined and established by</w:t>
      </w:r>
    </w:p>
    <w:p>
      <w:pPr>
        <w:sectPr>
          <w:pgSz w:w="11900" w:h="16838" w:orient="portrait"/>
          <w:cols w:equalWidth="0" w:num="1">
            <w:col w:w="11240"/>
          </w:cols>
          <w:pgMar w:left="320" w:top="1098" w:right="339" w:bottom="1440" w:gutter="0" w:footer="0" w:header="0"/>
        </w:sectPr>
      </w:pPr>
    </w:p>
    <w:bookmarkStart w:id="66" w:name="page67"/>
    <w:bookmarkEnd w:id="66"/>
    <w:p>
      <w:pPr>
        <w:spacing w:after="0" w:line="200" w:lineRule="exact"/>
        <w:rPr>
          <w:sz w:val="20"/>
          <w:szCs w:val="20"/>
          <w:color w:val="auto"/>
        </w:rPr>
      </w:pPr>
    </w:p>
    <w:p>
      <w:pPr>
        <w:spacing w:after="0" w:line="282" w:lineRule="exact"/>
        <w:rPr>
          <w:sz w:val="20"/>
          <w:szCs w:val="20"/>
          <w:color w:val="auto"/>
        </w:rPr>
      </w:pPr>
    </w:p>
    <w:p>
      <w:pPr>
        <w:ind w:right="240"/>
        <w:spacing w:after="0" w:line="215" w:lineRule="auto"/>
        <w:rPr>
          <w:sz w:val="20"/>
          <w:szCs w:val="20"/>
          <w:color w:val="auto"/>
        </w:rPr>
      </w:pPr>
      <w:r>
        <w:rPr>
          <w:rFonts w:ascii="Times New Roman" w:cs="Times New Roman" w:eastAsia="Times New Roman" w:hAnsi="Times New Roman"/>
          <w:sz w:val="22"/>
          <w:szCs w:val="22"/>
          <w:color w:val="auto"/>
        </w:rPr>
        <w:t>the Compensation Committee and the Board. Actual bonus awards shall be determined in the discretion of the Compensation Committee pursuant to the terms of the Company’s Annual Performance Plan that is applicable to you. For fiscal 2023, if the Executive’s employment with the Company terminates on or after January 1, 2024, the Executive’s bonus for 2023, determined by the Compensation Committee and the Board in accordance with the Company’s actual performance against the corporate performance targets for fiscal 2023, will be paid to Executive no later than in March 2024, at the same time bonuses for fiscal 2023 are paid to other executives of the Company.</w:t>
      </w:r>
    </w:p>
    <w:p>
      <w:pPr>
        <w:spacing w:after="0" w:line="152" w:lineRule="exact"/>
        <w:rPr>
          <w:sz w:val="20"/>
          <w:szCs w:val="20"/>
          <w:color w:val="auto"/>
        </w:rPr>
      </w:pPr>
    </w:p>
    <w:p>
      <w:pPr>
        <w:ind w:right="20" w:firstLine="656"/>
        <w:spacing w:after="0" w:line="220" w:lineRule="auto"/>
        <w:tabs>
          <w:tab w:leader="none" w:pos="129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Long-Term Incentive</w:t>
      </w:r>
      <w:r>
        <w:rPr>
          <w:rFonts w:ascii="Times New Roman" w:cs="Times New Roman" w:eastAsia="Times New Roman" w:hAnsi="Times New Roman"/>
          <w:sz w:val="21"/>
          <w:szCs w:val="21"/>
          <w:color w:val="auto"/>
        </w:rPr>
        <w:t xml:space="preserve">. You shall participate in the Company’s long-term incentive program and shall, beginning in the Company’s 2022 fiscal year (with such grant anticipated to be made in February of 2022), have a target annual long-term incentive award level equal to four-hundred percent (400%) of your Base Salary, with awards to be made in the form and amounts determined by the Compensation Committee, which may include stock options, restricted stock units and/or performance share awards, and/or other types of awards. The forms and amounts of such awards may be substantially in the same proportion as awards made to other senior executives of the Company, or the mix of awards may be unique to you as President and Chief Operating Officer, in the discretion of the Compensation Committee and the Board. For each fiscal year after 2022 that this Agreement remains in effect, your target long-term incentive award levels shall be reviewed periodically in accordance with the Company’s compensation philosophy, market conditions and other factors deemed relevant by the Compensation Committee, and upwardly adjusted to the extent, if any, deemed appropriate by the Compensation Committee and the Board;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your target long-term incentive award level may be reduced proportionally if in connection with a generally applicable reduction in the target long-term incentive award levels of all of the Company’s senior executives.</w:t>
      </w:r>
    </w:p>
    <w:p>
      <w:pPr>
        <w:spacing w:after="0" w:line="151" w:lineRule="exact"/>
        <w:rPr>
          <w:rFonts w:ascii="Times New Roman" w:cs="Times New Roman" w:eastAsia="Times New Roman" w:hAnsi="Times New Roman"/>
          <w:sz w:val="21"/>
          <w:szCs w:val="21"/>
          <w:color w:val="auto"/>
        </w:rPr>
      </w:pPr>
    </w:p>
    <w:p>
      <w:pPr>
        <w:ind w:right="20" w:firstLine="656"/>
        <w:spacing w:after="0" w:line="211"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Equity Grant</w:t>
      </w:r>
      <w:r>
        <w:rPr>
          <w:rFonts w:ascii="Times New Roman" w:cs="Times New Roman" w:eastAsia="Times New Roman" w:hAnsi="Times New Roman"/>
          <w:sz w:val="22"/>
          <w:szCs w:val="22"/>
          <w:color w:val="auto"/>
        </w:rPr>
        <w:t>. At the time the Company makes its annual equity grants for 2022 (with such grants anticipated to be made in February of 2022), in addition to your regular equity grants for 2022, you will receive a one-time retention grant as well. This retention grant will take the form of a restricted stock unit grant with a grant date value of $750,000 (the “</w:t>
      </w:r>
      <w:r>
        <w:rPr>
          <w:rFonts w:ascii="Times New Roman" w:cs="Times New Roman" w:eastAsia="Times New Roman" w:hAnsi="Times New Roman"/>
          <w:sz w:val="22"/>
          <w:szCs w:val="22"/>
          <w:u w:val="single" w:color="auto"/>
          <w:color w:val="auto"/>
        </w:rPr>
        <w:t>Retention Grant</w:t>
      </w:r>
      <w:r>
        <w:rPr>
          <w:rFonts w:ascii="Times New Roman" w:cs="Times New Roman" w:eastAsia="Times New Roman" w:hAnsi="Times New Roman"/>
          <w:sz w:val="22"/>
          <w:szCs w:val="22"/>
          <w:color w:val="auto"/>
        </w:rPr>
        <w:t>”). Except as set forth in the following sentence, the Retention Grant will cliff vest on the last day of the Term (i.e. December 31, 2023) if, and only if, you remain employed with the Company through the last day of the Term. The Retention Grant will fully vest earlier than the End Date upon your death, Disability, termination by the Company without Cause (either with or without a Change in Control) or termination by you for Good Reason (either with or without a Change in Control). The Retention Grant will be forfeited and null and void if your employment with the Company terminates prior to the last day of the Term for any reason not set forth in the immediately preceding sentence.</w:t>
      </w:r>
    </w:p>
    <w:p>
      <w:pPr>
        <w:spacing w:after="0" w:line="158" w:lineRule="exact"/>
        <w:rPr>
          <w:rFonts w:ascii="Times New Roman" w:cs="Times New Roman" w:eastAsia="Times New Roman" w:hAnsi="Times New Roman"/>
          <w:sz w:val="22"/>
          <w:szCs w:val="22"/>
          <w:color w:val="auto"/>
        </w:rPr>
      </w:pPr>
    </w:p>
    <w:p>
      <w:pPr>
        <w:ind w:firstLine="656"/>
        <w:spacing w:after="0" w:line="211"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Treatment if Employment Continues for at Least the Full Term</w:t>
      </w:r>
      <w:r>
        <w:rPr>
          <w:rFonts w:ascii="Times New Roman" w:cs="Times New Roman" w:eastAsia="Times New Roman" w:hAnsi="Times New Roman"/>
          <w:sz w:val="22"/>
          <w:szCs w:val="22"/>
          <w:color w:val="auto"/>
        </w:rPr>
        <w:t>. Upon any termination of your employment, your outstanding equity grants will be treated in accordance with their terms, as and to the extent modified by this letter agreement. However, if you remain employed by the Company through at least December 31, 2023, the following treatment will apply to any contingent performance share awards (or other performance-based equity awards) then outstanding and held by you that were granted in either 2022 or 2023 (collectively the “2022/2023 Performance Awards”). If your employment with the Company terminates after December 31, 2023 (the date of such termination referred to as the “Date of Termination”) for any reason other than the Company’s termination of your employment for Cause, including, without limitation, upon a resignation by you with or without Good Reason, or upon a termination of your employment by the Company without Cause, and you have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282"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22"/>
          <w:szCs w:val="22"/>
          <w:color w:val="auto"/>
        </w:rPr>
        <w:t>2022/2023 Performance Awards, those awards shall remain outstanding until the end of the applicable performance periods (each a “Performance Period”). You shall be entitled, following completion of the applicable Performance Periods, to the number of shares of common stock, if any, that would have been earned under such 2022/2023 Performance Awards had your employment not ended prior to the end of the Performance Period based on the actual achievement of the applicable performance targets during the full relevant Performance Periods (as defined under such awards), computed at the end of the Performance Period, and pro-rated by multiplying that number of shares by a fraction, the numerator of which is the number of days from the start of the Performance Period to the Date of Termination of your employment, and the denominator of which is the total number of days in the applicable Performance Period (the “Pro-Rated PSA Vesting”). Any shares earned under such awards shall be provided to you after the end of the applicable Performance Period for that award in accordance with the terms of the applicable award, but in no event earlier than thirty (30) days after the evaluation of the applicable Performance Period is completed (the “Pro-Rated PSA Vesting Schedule”). You may not exercise or dispose of any portion of an award or related shares of common stock that vests or become exercisable under this Section 7 until such time as the Executive Release becomes irrevocable (and any amounts that were unvested or unexercisable as of the Date of Termination shall immediately expire upon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Termination if the Executive Release has not then become irrevocable).</w:t>
      </w:r>
    </w:p>
    <w:p>
      <w:pPr>
        <w:spacing w:after="0" w:line="156"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The obligation of the Company to provide the benefits to you under this Section 7 is conditioned upon you signing and delivering to the Company a severance and release of claims agreement in a form to be provided by the Company (which will include, at a minimum, a release of all releasable claims and confidentiality, non-disparagement and cooperation obligations by the you in favor of the Company, but in no event shall such release provide any restrictive covenants that are more restrictive than those set forth in this letter agreement or any other agreement you have entered with the Company) (the “Executive Release”), which Executive Release must become irrevocable within sixty (60) days following the Date of Termination.</w:t>
      </w:r>
    </w:p>
    <w:p>
      <w:pPr>
        <w:spacing w:after="0" w:line="152" w:lineRule="exact"/>
        <w:rPr>
          <w:sz w:val="20"/>
          <w:szCs w:val="20"/>
          <w:color w:val="auto"/>
        </w:rPr>
      </w:pPr>
    </w:p>
    <w:p>
      <w:pPr>
        <w:ind w:right="40" w:firstLine="656"/>
        <w:spacing w:after="0" w:line="215"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You acknowledge that you are currently subject to certain non-competition restrictions in favor of the Company (reflected in the Non-Competition, Non-Solicitation and Confidentiality Agreements previously entered by you in connection with your employment and equity grants). You may also become subject to similar such restrictions in the future, including in connection with future equity grants. Collectively these non-competition provisions are referred to as the “Non-Compete Restrictions”. Those Non-Compete Restrictions are amended as follows, and any future non-competition restrictions you are asked to execute will reflect the following:</w:t>
      </w:r>
    </w:p>
    <w:p>
      <w:pPr>
        <w:spacing w:after="0" w:line="152" w:lineRule="exact"/>
        <w:rPr>
          <w:rFonts w:ascii="Times New Roman" w:cs="Times New Roman" w:eastAsia="Times New Roman" w:hAnsi="Times New Roman"/>
          <w:sz w:val="22"/>
          <w:szCs w:val="22"/>
          <w:color w:val="auto"/>
        </w:rPr>
      </w:pPr>
    </w:p>
    <w:p>
      <w:pPr>
        <w:ind w:right="40" w:firstLine="1304"/>
        <w:spacing w:after="0" w:line="213" w:lineRule="auto"/>
        <w:tabs>
          <w:tab w:leader="none" w:pos="193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only if, either: (i) your employment with the Company terminates after December 31, 2022, or (ii) upon an earlier termination of your employment, but only if such termination earlier than December 31, 2022 is by you for Good Reason, or by the Company without Cause, then in either case the Company agrees to amend, and does hereby amend, the Non-Compete Restrictions to provide that if you are considering employment with another business or enterprise that would be potentially deemed competitive with the Company under the Non-Compete Restrictions, the Company will consider in good faith any request you make of the Company to be released from your Non-Compete Restrictions in connection with potentially accepting such alternative employment. The Company will not unreasonably deny such a request.</w:t>
      </w:r>
    </w:p>
    <w:p>
      <w:pPr>
        <w:spacing w:after="0" w:line="156" w:lineRule="exact"/>
        <w:rPr>
          <w:rFonts w:ascii="Times New Roman" w:cs="Times New Roman" w:eastAsia="Times New Roman" w:hAnsi="Times New Roman"/>
          <w:sz w:val="22"/>
          <w:szCs w:val="22"/>
          <w:color w:val="auto"/>
        </w:rPr>
      </w:pPr>
    </w:p>
    <w:p>
      <w:pPr>
        <w:ind w:right="660" w:firstLine="1304"/>
        <w:spacing w:after="0" w:line="236" w:lineRule="auto"/>
        <w:tabs>
          <w:tab w:leader="none" w:pos="194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with the Company terminates after December 31, 2023, the Company agrees to amend, and does hereby amend, the Non-Compete Restrictions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82"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22"/>
          <w:szCs w:val="22"/>
          <w:color w:val="auto"/>
        </w:rPr>
        <w:t>provide that they will only prohibit you from employment or other association with Mattel, Lego or MGA Entertainment (or a successor to one of those companies’ businesses), and will not apply to your employment or association with any other business or enterprise.</w:t>
      </w:r>
    </w:p>
    <w:p>
      <w:pPr>
        <w:spacing w:after="0" w:line="152" w:lineRule="exact"/>
        <w:rPr>
          <w:sz w:val="20"/>
          <w:szCs w:val="20"/>
          <w:color w:val="auto"/>
        </w:rPr>
      </w:pPr>
    </w:p>
    <w:p>
      <w:pPr>
        <w:ind w:right="60" w:firstLine="1304"/>
        <w:spacing w:after="0" w:line="231" w:lineRule="auto"/>
        <w:tabs>
          <w:tab w:leader="none" w:pos="1932"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termination of your employment, the Non-Compete Restrictions, as amended above, will apply for a period of one (1) year after your Date of Termination. For the portion of such one-year period that elapses prior to December 31, 2023, the Non-Compete Restrictions as amended by subsection a. above shall apply. For any remainder of such one-year period that occurs on or after January 1, 2024, the Non-Compete Restrictions as amended by subsection b. above shall apply.</w:t>
      </w:r>
    </w:p>
    <w:p>
      <w:pPr>
        <w:spacing w:after="0" w:line="150" w:lineRule="exact"/>
        <w:rPr>
          <w:rFonts w:ascii="Times New Roman" w:cs="Times New Roman" w:eastAsia="Times New Roman" w:hAnsi="Times New Roman"/>
          <w:sz w:val="21"/>
          <w:szCs w:val="21"/>
          <w:color w:val="auto"/>
        </w:rPr>
      </w:pPr>
    </w:p>
    <w:p>
      <w:pPr>
        <w:ind w:right="20" w:firstLine="1304"/>
        <w:spacing w:after="0" w:line="236" w:lineRule="auto"/>
        <w:tabs>
          <w:tab w:leader="none" w:pos="194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8 does not amend any of the confidentiality, non-solicitation or non-interference provisions to which you are bound, and only the Non-Compete Restrictions are amended hereby.</w:t>
      </w:r>
    </w:p>
    <w:p>
      <w:pPr>
        <w:spacing w:after="0" w:line="150" w:lineRule="exact"/>
        <w:rPr>
          <w:rFonts w:ascii="Times New Roman" w:cs="Times New Roman" w:eastAsia="Times New Roman" w:hAnsi="Times New Roman"/>
          <w:sz w:val="22"/>
          <w:szCs w:val="22"/>
          <w:color w:val="auto"/>
        </w:rPr>
      </w:pPr>
    </w:p>
    <w:p>
      <w:pPr>
        <w:ind w:right="480" w:firstLine="656"/>
        <w:spacing w:after="0" w:line="236"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 You will continue to participate in the benefit plans and policies of the Company in which you currently participate, as those plans may be amended by the Company from time to time.</w:t>
      </w:r>
    </w:p>
    <w:p>
      <w:pPr>
        <w:spacing w:after="0" w:line="150" w:lineRule="exact"/>
        <w:rPr>
          <w:rFonts w:ascii="Times New Roman" w:cs="Times New Roman" w:eastAsia="Times New Roman" w:hAnsi="Times New Roman"/>
          <w:sz w:val="22"/>
          <w:szCs w:val="22"/>
          <w:color w:val="auto"/>
        </w:rPr>
      </w:pPr>
    </w:p>
    <w:p>
      <w:pPr>
        <w:ind w:right="40" w:firstLine="656"/>
        <w:spacing w:after="0" w:line="210"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Other Provisions</w:t>
      </w:r>
      <w:r>
        <w:rPr>
          <w:rFonts w:ascii="Times New Roman" w:cs="Times New Roman" w:eastAsia="Times New Roman" w:hAnsi="Times New Roman"/>
          <w:sz w:val="22"/>
          <w:szCs w:val="22"/>
          <w:color w:val="auto"/>
        </w:rPr>
        <w:t>. In the interest of time the parties have drafted this letter agreement as a short document, and the parties agree that the following provisions (and only the following listed provisions, and not any other provisions) from the August 1, 2018 Employment Agreement between the Company and its previous President and Chief Operating Officer, which agreement was previously filed with the Securities and Exchange Commission via the EDGAR system, are hereby incorporated into this letter agreement mutatis mutandis, for the benefit of both the Executive and the Company: Section 3.4, Section 3.5, Section 3.6, Section 3.7, all of Section 4 (including Sections 4.1 through and including 4.6) , all of Section 5 (including Sections 5.1 through and including 5.6), Section 6, Section 7 (including 7.1 through and including 7.5), Section 9, Section 10 (including Sections 10.1 through and including 10.7) and Section 11 (including Sections 11.1 through and including Section 11.10). If either of the parties requests, following the Effective Date of this Agreement the parties will work together to amend and restate this letter agreement as a long-form agreement actually incorporating the full text of the foregoing provisions, mutatis mutandis, into the long-form document.</w:t>
      </w:r>
    </w:p>
    <w:p>
      <w:pPr>
        <w:spacing w:after="0" w:line="157" w:lineRule="exact"/>
        <w:rPr>
          <w:rFonts w:ascii="Times New Roman" w:cs="Times New Roman" w:eastAsia="Times New Roman" w:hAnsi="Times New Roman"/>
          <w:sz w:val="22"/>
          <w:szCs w:val="22"/>
          <w:color w:val="auto"/>
        </w:rPr>
      </w:pPr>
    </w:p>
    <w:p>
      <w:pPr>
        <w:jc w:val="both"/>
        <w:ind w:right="140" w:firstLine="656"/>
        <w:spacing w:after="0" w:line="220" w:lineRule="auto"/>
        <w:tabs>
          <w:tab w:leader="none" w:pos="128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letter agreement represents the entire agreement and understanding between you and the Company concerning the subject matter of this letter and the events leading thereto and associated therewith, and supersede and replace any and all prior negotiations, representations, agreements and understandings concerning the subject matter of such agreements.</w:t>
      </w:r>
    </w:p>
    <w:p>
      <w:pPr>
        <w:spacing w:after="0" w:line="152" w:lineRule="exact"/>
        <w:rPr>
          <w:rFonts w:ascii="Times New Roman" w:cs="Times New Roman" w:eastAsia="Times New Roman" w:hAnsi="Times New Roman"/>
          <w:sz w:val="22"/>
          <w:szCs w:val="22"/>
          <w:color w:val="auto"/>
        </w:rPr>
      </w:pPr>
    </w:p>
    <w:p>
      <w:pPr>
        <w:ind w:firstLine="656"/>
        <w:spacing w:after="0" w:line="215"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letter agreement shall be governed by and construed in accordance with the laws of the State of Rhode Island (without reference to the conflicts of laws provisions thereof). Any action, suit or other legal proceeding arising under or relating to any provision of this letter agreement shall be commenced only in a court of the State of Rhode Island (or, if appropriate, a federal court located within Rhode Island), and the Company and you each consents to the jurisdiction of such a court. The Company and you each hereby irrevocably waives any right to a trial by jury in any action, suit or other legal proceeding arising under or relating to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440" w:right="379" w:bottom="1440" w:gutter="0" w:footer="0" w:header="0"/>
        </w:sectPr>
      </w:pPr>
    </w:p>
    <w:bookmarkStart w:id="69" w:name="page70"/>
    <w:bookmarkEnd w:id="69"/>
    <w:p>
      <w:pPr>
        <w:spacing w:after="0" w:line="200" w:lineRule="exact"/>
        <w:rPr>
          <w:sz w:val="20"/>
          <w:szCs w:val="20"/>
          <w:color w:val="auto"/>
        </w:rPr>
      </w:pPr>
    </w:p>
    <w:p>
      <w:pPr>
        <w:spacing w:after="0" w:line="282" w:lineRule="exact"/>
        <w:rPr>
          <w:sz w:val="20"/>
          <w:szCs w:val="20"/>
          <w:color w:val="auto"/>
        </w:rPr>
      </w:pPr>
    </w:p>
    <w:p>
      <w:pPr>
        <w:ind w:firstLine="656"/>
        <w:spacing w:after="0" w:line="225"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letter agreement may be executed in counterparts and by facsimile, and each counterpart and facsimile shall have the same force and effect as an original and shall constitute an effective, binding agreement on the part of each of the undersigned.</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letter agreement as of the day and year first written</w:t>
      </w: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EXECUTIVE</w:t>
      </w:r>
    </w:p>
    <w:p>
      <w:pPr>
        <w:spacing w:after="0" w:line="233" w:lineRule="exact"/>
        <w:rPr>
          <w:sz w:val="20"/>
          <w:szCs w:val="20"/>
          <w:color w:val="auto"/>
        </w:rPr>
      </w:pPr>
    </w:p>
    <w:p>
      <w:pPr>
        <w:ind w:left="5740"/>
        <w:spacing w:after="0"/>
        <w:tabs>
          <w:tab w:leader="none" w:pos="63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Eric Nyman</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2"/>
          <w:szCs w:val="22"/>
          <w:color w:val="auto"/>
        </w:rPr>
        <w:t>Eric Nyman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-160020</wp:posOffset>
            </wp:positionV>
            <wp:extent cx="30943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HASBRO, INC.:</w:t>
      </w:r>
    </w:p>
    <w:p>
      <w:pPr>
        <w:spacing w:after="0" w:line="260" w:lineRule="exact"/>
        <w:rPr>
          <w:sz w:val="20"/>
          <w:szCs w:val="20"/>
          <w:color w:val="auto"/>
        </w:rPr>
      </w:pPr>
    </w:p>
    <w:p>
      <w:pPr>
        <w:ind w:left="5740"/>
        <w:spacing w:after="0"/>
        <w:tabs>
          <w:tab w:leader="none" w:pos="63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Richard Stoddart</w:t>
      </w:r>
    </w:p>
    <w:p>
      <w:pPr>
        <w:spacing w:after="0" w:line="1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2"/>
          <w:szCs w:val="22"/>
          <w:color w:val="auto"/>
        </w:rPr>
        <w:t>Name: Richard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-151765</wp:posOffset>
            </wp:positionV>
            <wp:extent cx="30943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ind w:left="6380"/>
        <w:spacing w:after="0"/>
        <w:rPr>
          <w:sz w:val="20"/>
          <w:szCs w:val="20"/>
          <w:color w:val="auto"/>
        </w:rPr>
      </w:pPr>
      <w:r>
        <w:rPr>
          <w:rFonts w:ascii="Times New Roman" w:cs="Times New Roman" w:eastAsia="Times New Roman" w:hAnsi="Times New Roman"/>
          <w:sz w:val="22"/>
          <w:szCs w:val="22"/>
          <w:color w:val="auto"/>
        </w:rPr>
        <w:t>Title: 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960"/>
          </w:cols>
          <w:pgMar w:left="320" w:top="1440" w:right="61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HASBRO,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RESTATED 2003 STOCK INCENTIVE PERFORMANCE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STOCK OPTION AGREEMENT FOR EMPLOYEES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(WITH NON-COMPETE)</w:t>
      </w:r>
    </w:p>
    <w:p>
      <w:pPr>
        <w:spacing w:after="0" w:line="1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u w:val="single" w:color="auto"/>
          <w:color w:val="auto"/>
        </w:rPr>
        <w:t>____________, 2022 GRANT</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AGREEMENT, made effective as of __________, 2022, by and between HASBRO, INC., a Rhode Island corporation (the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the designated option grant recipient (the "Optionee").</w:t>
      </w:r>
    </w:p>
    <w:p>
      <w:pPr>
        <w:spacing w:after="0" w:line="125" w:lineRule="exact"/>
        <w:rPr>
          <w:sz w:val="20"/>
          <w:szCs w:val="20"/>
          <w:color w:val="auto"/>
        </w:rPr>
      </w:pPr>
    </w:p>
    <w:p>
      <w:pPr>
        <w:jc w:val="both"/>
        <w:ind w:right="20" w:firstLine="257"/>
        <w:spacing w:after="0" w:line="352" w:lineRule="auto"/>
        <w:rPr>
          <w:sz w:val="20"/>
          <w:szCs w:val="20"/>
          <w:color w:val="auto"/>
        </w:rPr>
      </w:pPr>
      <w:r>
        <w:rPr>
          <w:rFonts w:ascii="Times New Roman" w:cs="Times New Roman" w:eastAsia="Times New Roman" w:hAnsi="Times New Roman"/>
          <w:sz w:val="22"/>
          <w:szCs w:val="22"/>
          <w:color w:val="auto"/>
        </w:rPr>
        <w:t>WHEREAS, Optionee is an employee of the Company or of a direct or indirect subsidiary of the Company and is eligible to participate in the Company's Restated 2003 Stock Incentive Performance Plan, as amended (the "Plan"), and</w:t>
      </w:r>
    </w:p>
    <w:p>
      <w:pPr>
        <w:jc w:val="both"/>
        <w:ind w:firstLine="244"/>
        <w:spacing w:after="0" w:line="358" w:lineRule="auto"/>
        <w:rPr>
          <w:sz w:val="20"/>
          <w:szCs w:val="20"/>
          <w:color w:val="auto"/>
        </w:rPr>
      </w:pPr>
      <w:r>
        <w:rPr>
          <w:rFonts w:ascii="Times New Roman" w:cs="Times New Roman" w:eastAsia="Times New Roman" w:hAnsi="Times New Roman"/>
          <w:sz w:val="22"/>
          <w:szCs w:val="22"/>
          <w:color w:val="auto"/>
        </w:rPr>
        <w:t>WHEREAS, the Compensation Committee (the "Committee") of the Board of Directors of the Company (the "Board") acting in accordance with the provisions of the Plan is granting to Optionee a non-qualified stock option to purchase the specified number of shares of Common Stock of the Company, par value $.50 per share (the "Common Stock"), at a price determined by said Committee to be not less than the fair market value of such Common Stock on the date of said grant, subject to and upon the terms and conditions set forth in the Plan and as hereinafter set forth.</w:t>
      </w:r>
    </w:p>
    <w:p>
      <w:pPr>
        <w:spacing w:after="0" w:line="3" w:lineRule="exact"/>
        <w:rPr>
          <w:sz w:val="20"/>
          <w:szCs w:val="20"/>
          <w:color w:val="auto"/>
        </w:rPr>
      </w:pPr>
    </w:p>
    <w:p>
      <w:pPr>
        <w:jc w:val="both"/>
        <w:ind w:right="20" w:firstLine="257"/>
        <w:spacing w:after="0" w:line="352" w:lineRule="auto"/>
        <w:rPr>
          <w:sz w:val="20"/>
          <w:szCs w:val="20"/>
          <w:color w:val="auto"/>
        </w:rPr>
      </w:pPr>
      <w:r>
        <w:rPr>
          <w:rFonts w:ascii="Times New Roman" w:cs="Times New Roman" w:eastAsia="Times New Roman" w:hAnsi="Times New Roman"/>
          <w:sz w:val="22"/>
          <w:szCs w:val="22"/>
          <w:color w:val="auto"/>
        </w:rPr>
        <w:t>NOW, THEREFORE, in consideration of the premises and other good and valuable consideration, the parties hereto agree as follows:</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jc w:val="both"/>
        <w:ind w:right="140" w:firstLine="318"/>
        <w:spacing w:after="0" w:line="360" w:lineRule="auto"/>
        <w:tabs>
          <w:tab w:leader="none" w:pos="78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Contingent upon and in consideration for the Optionee having executed and delivered to the Company’s designated contact no later than __________, 2022 a Non-Competition, Non-Solicitation and Confidentiality Agreement (the “Non-Compete Agreement”) between the Optionee and the Company in the form provided to the Optionee by the Company (or otherwise confirming the terms of the Optionee’s existing Non-Compete Agreement), the Company hereby grants to the Optionee effective on __________, 2022, pursuant to the Plan, a copy of which is attached hereto as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and the provisions of which are incorporated herein as if set forth in full, a stock option to purchase all or any part of the number of shares of Common Stock (the "Shares"), described in Section 3 below (the "Option"), subject to and upon the terms and conditions set forth in the Plan and the Non-</w:t>
      </w:r>
    </w:p>
    <w:p>
      <w:pPr>
        <w:sectPr>
          <w:pgSz w:w="11900" w:h="16838" w:orient="portrait"/>
          <w:cols w:equalWidth="0" w:num="1">
            <w:col w:w="11240"/>
          </w:cols>
          <w:pgMar w:left="320" w:top="98" w:right="339" w:bottom="1440" w:gutter="0" w:footer="0" w:header="0"/>
        </w:sectPr>
      </w:pPr>
    </w:p>
    <w:bookmarkStart w:id="71" w:name="page72"/>
    <w:bookmarkEnd w:id="71"/>
    <w:p>
      <w:pPr>
        <w:spacing w:after="0" w:line="36"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2"/>
          <w:szCs w:val="22"/>
          <w:color w:val="auto"/>
        </w:rPr>
        <w:t>Compete Agreement and the additional terms and conditions hereinafter set forth. The Option is evidenced by this Agreement. In the event of any inconsistency between the provisions of this Agreement and, if applicable, the terms of the Optionee’s Employment Agreement, the provisions set forth in the Employment Agreement shall control, provided that to the extent the provisions of this Agreement or the Optionee’s Employment Agreement are inconsistent with the terms of the Plan, then the terms of the Plan shall control. For the avoidance of doubt, if the Optionee has not executed and delivered to the Company’s designated contact the Non-Compete Agreement (or otherwise confirmed the terms of the Optionee’s existing Non-Compete Agreement) on or before __________, 2022 the Option represented by this Agreement will never take effect and will be null and void.</w:t>
      </w:r>
    </w:p>
    <w:p>
      <w:pPr>
        <w:jc w:val="both"/>
        <w:ind w:firstLine="249"/>
        <w:spacing w:after="0" w:line="355" w:lineRule="auto"/>
        <w:tabs>
          <w:tab w:leader="none" w:pos="6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award the Optionee hereby acknowledges and agrees that (i) this Option, and any shares the Optionee may acquire under this Option in the future or any of the proceeds of exercising this Option or selling any shares acquired pursuant to this Option, as well as any other incentive compensation the Optionee is granted after adoption, is subject to the Company’s Clawback Policy, which was adopted by the Company’s Board of Directors in October 2012, as it may be amended from time to time by the Board in the future, and (ii) the Optionee is subject to and bound by the terms of the Non-Compete Agreement. Such acknowledgements and agreements are material conditions to receiving this Option, which would not have been granted to the Optionee otherwise. Additionally, the Optionee acknowledges and agrees that if the Optionee is or becomes subject to the Hasbro, Inc. Executive Ownership Policy, effective as of March 1, 2014, as it may be amended from time to time by the Board in the future (the “Stock Ownership Policy”), then by accepting this award and any shares that the Optionee may acquire in the future pursuant to this award, as well as any other equity-based incentive compensation the Optionee is granted after the Optionee becomes subject to the Stock Ownership Policy, the Optionee agrees that the Optionee will be subject to the terms of the Stock Ownership Policy, including without limitation the requirement to retain an amount equal to at least 50% of the net shares received as a result of the exercise, vesting or payment of any equity awards granted until the Optionee’s applicable requirement levels are met.</w:t>
      </w:r>
    </w:p>
    <w:p>
      <w:pPr>
        <w:spacing w:after="0" w:line="12" w:lineRule="exact"/>
        <w:rPr>
          <w:rFonts w:ascii="Times New Roman" w:cs="Times New Roman" w:eastAsia="Times New Roman" w:hAnsi="Times New Roman"/>
          <w:sz w:val="22"/>
          <w:szCs w:val="22"/>
          <w:color w:val="auto"/>
        </w:rPr>
      </w:pPr>
    </w:p>
    <w:p>
      <w:pPr>
        <w:jc w:val="both"/>
        <w:ind w:firstLine="261"/>
        <w:spacing w:after="0" w:line="372" w:lineRule="auto"/>
        <w:tabs>
          <w:tab w:leader="none" w:pos="665"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relates to an Option to purchase the specified number of shares which have been communicated to the Optionee at an exercise price of $_____ per share (the "Exercise Price Per Share"). (Hereinafter, the term "Exercise Price" shall mean the Exercise</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00"/>
          </w:cols>
          <w:pgMar w:left="320" w:top="1440" w:right="479" w:bottom="1440" w:gutter="0" w:footer="0" w:header="0"/>
        </w:sectPr>
      </w:pPr>
    </w:p>
    <w:bookmarkStart w:id="72" w:name="page73"/>
    <w:bookmarkEnd w:id="72"/>
    <w:p>
      <w:pPr>
        <w:spacing w:after="0" w:line="36" w:lineRule="exact"/>
        <w:rPr>
          <w:sz w:val="20"/>
          <w:szCs w:val="20"/>
          <w:color w:val="auto"/>
        </w:rPr>
      </w:pPr>
    </w:p>
    <w:p>
      <w:pPr>
        <w:jc w:val="both"/>
        <w:ind w:right="140"/>
        <w:spacing w:after="0" w:line="328" w:lineRule="auto"/>
        <w:rPr>
          <w:sz w:val="20"/>
          <w:szCs w:val="20"/>
          <w:color w:val="auto"/>
        </w:rPr>
      </w:pPr>
      <w:r>
        <w:rPr>
          <w:rFonts w:ascii="Times New Roman" w:cs="Times New Roman" w:eastAsia="Times New Roman" w:hAnsi="Times New Roman"/>
          <w:sz w:val="22"/>
          <w:szCs w:val="22"/>
          <w:color w:val="auto"/>
        </w:rPr>
        <w:t>Price Per Share multiplied by the number of shares being exercised.) Subject to the provisions of the Plan and of this Agreement, the Optionee shall be entitled to exercise the Option on a cumulative basis until the day preceding the seventh anniversary of the date of the grant in accordance with the following schedule:</w:t>
      </w:r>
    </w:p>
    <w:p>
      <w:pPr>
        <w:ind w:left="1080"/>
        <w:spacing w:after="0" w:line="229" w:lineRule="auto"/>
        <w:rPr>
          <w:sz w:val="20"/>
          <w:szCs w:val="20"/>
          <w:color w:val="auto"/>
        </w:rPr>
      </w:pPr>
      <w:r>
        <w:rPr>
          <w:rFonts w:ascii="Times New Roman" w:cs="Times New Roman" w:eastAsia="Times New Roman" w:hAnsi="Times New Roman"/>
          <w:sz w:val="22"/>
          <w:szCs w:val="22"/>
          <w:color w:val="auto"/>
        </w:rPr>
        <w:t>Cumulative</w:t>
      </w:r>
    </w:p>
    <w:p>
      <w:pPr>
        <w:ind w:left="1080"/>
        <w:spacing w:after="0" w:line="205" w:lineRule="auto"/>
        <w:rPr>
          <w:sz w:val="20"/>
          <w:szCs w:val="20"/>
          <w:color w:val="auto"/>
        </w:rPr>
      </w:pPr>
      <w:r>
        <w:rPr>
          <w:rFonts w:ascii="Times New Roman" w:cs="Times New Roman" w:eastAsia="Times New Roman" w:hAnsi="Times New Roman"/>
          <w:sz w:val="22"/>
          <w:szCs w:val="22"/>
          <w:color w:val="auto"/>
        </w:rPr>
        <w:t>Percent of Option</w:t>
      </w:r>
    </w:p>
    <w:p>
      <w:pPr>
        <w:spacing w:after="0" w:line="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u w:val="single" w:color="auto"/>
          <w:color w:val="auto"/>
        </w:rPr>
        <w:t>Period</w:t>
      </w:r>
      <w:r>
        <w:rPr>
          <w:sz w:val="20"/>
          <w:szCs w:val="20"/>
          <w:color w:val="auto"/>
        </w:rPr>
        <w:tab/>
      </w:r>
      <w:r>
        <w:rPr>
          <w:rFonts w:ascii="Times New Roman" w:cs="Times New Roman" w:eastAsia="Times New Roman" w:hAnsi="Times New Roman"/>
          <w:sz w:val="22"/>
          <w:szCs w:val="22"/>
          <w:u w:val="single" w:color="auto"/>
          <w:color w:val="auto"/>
        </w:rPr>
        <w:t>Exercisable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________ ____ to ________ ____</w:t>
            </w:r>
          </w:p>
        </w:tc>
        <w:tc>
          <w:tcPr>
            <w:tcW w:w="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w:t>
            </w:r>
          </w:p>
        </w:tc>
      </w:tr>
      <w:tr>
        <w:trPr>
          <w:trHeight w:val="216"/>
        </w:trPr>
        <w:tc>
          <w:tcPr>
            <w:tcW w:w="3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________ ____ to ________ ____</w:t>
            </w:r>
          </w:p>
        </w:tc>
        <w:tc>
          <w:tcPr>
            <w:tcW w:w="820" w:type="dxa"/>
            <w:vAlign w:val="bottom"/>
          </w:tcPr>
          <w:p>
            <w:pPr>
              <w:ind w:left="100"/>
              <w:spacing w:after="0" w:line="216" w:lineRule="exact"/>
              <w:rPr>
                <w:sz w:val="20"/>
                <w:szCs w:val="20"/>
                <w:color w:val="auto"/>
              </w:rPr>
            </w:pPr>
            <w:r>
              <w:rPr>
                <w:rFonts w:ascii="Times New Roman" w:cs="Times New Roman" w:eastAsia="Times New Roman" w:hAnsi="Times New Roman"/>
                <w:sz w:val="22"/>
                <w:szCs w:val="22"/>
                <w:color w:val="auto"/>
                <w:w w:val="94"/>
              </w:rPr>
              <w:t>33 1/3%</w:t>
            </w:r>
          </w:p>
        </w:tc>
      </w:tr>
      <w:tr>
        <w:trPr>
          <w:trHeight w:val="282"/>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________ ____ to ________ ____</w:t>
            </w:r>
          </w:p>
        </w:tc>
        <w:tc>
          <w:tcPr>
            <w:tcW w:w="8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66 2/3%</w:t>
            </w: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________ ____ to ________ ____</w:t>
            </w:r>
          </w:p>
        </w:tc>
        <w:tc>
          <w:tcPr>
            <w:tcW w:w="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w:t>
            </w: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determining the number of shares exercisable in accordance with the above table, fractional shares shall be disregarded.</w:t>
      </w:r>
    </w:p>
    <w:p>
      <w:pPr>
        <w:spacing w:after="0" w:line="125" w:lineRule="exact"/>
        <w:rPr>
          <w:sz w:val="20"/>
          <w:szCs w:val="20"/>
          <w:color w:val="auto"/>
        </w:rPr>
      </w:pPr>
    </w:p>
    <w:p>
      <w:pPr>
        <w:jc w:val="both"/>
        <w:ind w:right="120" w:firstLine="224"/>
        <w:spacing w:after="0" w:line="356" w:lineRule="auto"/>
        <w:tabs>
          <w:tab w:leader="none" w:pos="64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Optionee wishes to purchase any of the shares then purchasable under the Option as provided in Section 3 hereof, Optionee shall deliver or shall transmit to the Company or to the Company’s designee, in the manner designated by or on behalf of the Company, a notice in the form and/or in the manner designated by or on behalf of the Company or its designee, as the same may be amended or supplemented from time to time by or on behalf the Company, together with a check payable to Hasbro, Inc. or its designee, if applicable, (or accompanied by wire transfer to such account of the Company or its designee as the Company may designate) in United States dollars, in the aggregate amount of the Exercise Price, or shares of Common Stock held by the Optionee for at least six (6) months (duly endorsed to the Company or its designee, if applicable, or accompanied by an executed stock power, in each case with signatures guaranteed by a bank or broker if required by the Company or its designee) having a Fair Market Value (as defined in the Plan) equal to the Exercise Price, or a combination of such shares having a Fair Market Value less than the Exercise Price and a check in United States dollars for the balance of the Exercise Price.</w:t>
      </w:r>
    </w:p>
    <w:p>
      <w:pPr>
        <w:spacing w:after="0" w:line="3" w:lineRule="exact"/>
        <w:rPr>
          <w:rFonts w:ascii="Times New Roman" w:cs="Times New Roman" w:eastAsia="Times New Roman" w:hAnsi="Times New Roman"/>
          <w:sz w:val="22"/>
          <w:szCs w:val="22"/>
          <w:color w:val="auto"/>
        </w:rPr>
      </w:pPr>
    </w:p>
    <w:p>
      <w:pPr>
        <w:jc w:val="both"/>
        <w:ind w:firstLine="558"/>
        <w:spacing w:after="0" w:line="36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an Optionee shall have made advance alternative arrangements satisfactory to the Company, or to the Company’s designee, each Optionee shall deliver to the Company or its designee, together with the required notice of exercise and payment of the Exercise Price as aforesaid, a check payable to Hasbro, Inc. or its designee, if applicable, or a wire transfer to such account of the Company or its designee, if applicable, as the Company may designate, in United States dollars, in the amount of any withholding required by law for any and all federal, state,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3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1"/>
          <w:szCs w:val="21"/>
          <w:color w:val="auto"/>
        </w:rPr>
        <w:t xml:space="preserve">local or foreign taxes payable as a result of such exercise. Each Optionee shall consult with the Company or the Company’s designee </w:t>
      </w:r>
      <w:r>
        <w:rPr>
          <w:rFonts w:ascii="Times New Roman" w:cs="Times New Roman" w:eastAsia="Times New Roman" w:hAnsi="Times New Roman"/>
          <w:sz w:val="21"/>
          <w:szCs w:val="21"/>
          <w:u w:val="single" w:color="auto"/>
          <w:color w:val="auto"/>
        </w:rPr>
        <w:t>in advance</w:t>
      </w:r>
      <w:r>
        <w:rPr>
          <w:rFonts w:ascii="Times New Roman" w:cs="Times New Roman" w:eastAsia="Times New Roman" w:hAnsi="Times New Roman"/>
          <w:sz w:val="21"/>
          <w:szCs w:val="21"/>
          <w:color w:val="auto"/>
        </w:rPr>
        <w:t xml:space="preserve"> of the exercise so as to determine the amount of withholding taxes due. An Optionee may also elect to satisfy any withholding taxes payable as a result of such exercise (the "Taxes"), in whole or in part, either (i) by having the Company or its designee withhold from the shares of Common Stock to be issued upon exercise of the Option or (ii) delivering to the Company or its designee shares of Common Stock already owned by the Optionee and held by the Optionee for at least six</w:t>
      </w:r>
    </w:p>
    <w:p>
      <w:pPr>
        <w:spacing w:after="0" w:line="5" w:lineRule="exact"/>
        <w:rPr>
          <w:sz w:val="20"/>
          <w:szCs w:val="20"/>
          <w:color w:val="auto"/>
        </w:rPr>
      </w:pPr>
    </w:p>
    <w:p>
      <w:pPr>
        <w:jc w:val="both"/>
        <w:ind w:firstLine="8"/>
        <w:spacing w:after="0" w:line="356" w:lineRule="auto"/>
        <w:tabs>
          <w:tab w:leader="none" w:pos="31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(represented by stock certificates duly endorsed to the Company or accompanied by an executed stock power in each case with signatures guaranteed by a bank or broker to the extent required by the Company or its designee), in each case in an amount whose Fair Market Value on the date of exercise is either equal to the Taxes or less than the Taxes, provided that a check payable to Hasbro, Inc. or its designee, if applicable, or a wire transfer to such account of the Company or its designee as the Company may designate, in United States dollars for the balance of the Taxes is also delivered to the Company, or its designee, at the time of exercise.</w:t>
      </w:r>
    </w:p>
    <w:p>
      <w:pPr>
        <w:spacing w:after="0" w:line="2" w:lineRule="exact"/>
        <w:rPr>
          <w:rFonts w:ascii="Times New Roman" w:cs="Times New Roman" w:eastAsia="Times New Roman" w:hAnsi="Times New Roman"/>
          <w:sz w:val="22"/>
          <w:szCs w:val="22"/>
          <w:color w:val="auto"/>
        </w:rPr>
      </w:pPr>
    </w:p>
    <w:p>
      <w:pPr>
        <w:jc w:val="both"/>
        <w:ind w:firstLine="285"/>
        <w:spacing w:after="0" w:line="3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Section 4 to the contrary, if this Option is scheduled to expire due to the expiration of the term on the date described in Section 3 above and the Fair Market Value of a share of Common Stock on the last day of such term exceeds the Exercise Price for a share of Common Stock subject to this Option, then, by accepting this Award, you shall be treated as having instructed the Company to exercise the vested portion of this Option on the last day of such term. As promptly as practicable thereafter, the Company will deliver to the Optionee that number of shares subject to the vested Option less the number of shares with a value that is equal to the aggregate Fair Market Value of (1) the aggregate exercise price of the vested Stock Option and (2) the amount necessary to satisfy any required withholding of Taxes.</w:t>
      </w:r>
    </w:p>
    <w:p>
      <w:pPr>
        <w:spacing w:after="0" w:line="5" w:lineRule="exact"/>
        <w:rPr>
          <w:rFonts w:ascii="Times New Roman" w:cs="Times New Roman" w:eastAsia="Times New Roman" w:hAnsi="Times New Roman"/>
          <w:sz w:val="22"/>
          <w:szCs w:val="22"/>
          <w:color w:val="auto"/>
        </w:rPr>
      </w:pPr>
    </w:p>
    <w:p>
      <w:pPr>
        <w:jc w:val="both"/>
        <w:ind w:firstLine="648"/>
        <w:spacing w:after="0" w:line="3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Optionee shall comply with such other requirements and provide such additional information and documentation as is reasonably required by the Company, or the Company’s designee, to process any exercise of this option and resulting delivery of shares. As soon as practicable after receipt of the notice of exercise, Exercise Price, Taxes, and such other information and documentation as the Company or its designee shall require, the Company or its designee shall deliver or cause to be delivered to Optionee the shares in respect of which the Option was so exercised (less any shares deducted to pay Taxes in accordance with Optionee's election).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36" w:lineRule="exact"/>
        <w:rPr>
          <w:sz w:val="20"/>
          <w:szCs w:val="20"/>
          <w:color w:val="auto"/>
        </w:rPr>
      </w:pPr>
    </w:p>
    <w:p>
      <w:pPr>
        <w:jc w:val="both"/>
        <w:ind w:firstLine="224"/>
        <w:spacing w:after="0" w:line="356" w:lineRule="auto"/>
        <w:tabs>
          <w:tab w:leader="none" w:pos="59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If an Optionee who is an employee of the Company or of a direct or indirect subsidiary of the Company retires at his or her Normal Retirement Date (as defined below), or an Optionee with at least one year of Credited Service of the Company suffers a permanent physical or mental disability (as defined below) or dies, in each case without the Optionee having fully exercised any Option granted to the Optionee, then the Optionee, the executor, administrator or trustee of the Optionee’s estate, or the Optionee’s legal representative, as the case may be, shall have the right to exercise any Option under the Plan, for a period of not more than one (1) year after such retirement, such disability, or in the case of death, the appointment and qualification of such executor, administrator or trustee (except that in no event other than death may such Option be exercised later than the day preceding the seventh anniversary of the date of the grant of such Option). In each such case, the Option will be exercisable with respect to all or any part of the number of shares to which the Option relates, whether or not said Option was fully exercisable in accordance with the schedule set forth in Section 3 of this Agreement as of the date of such retirement, disability or death. Thereafter, such Option, to the extent not so exercised during such one-year period shall be deemed to have expired regardless of the expiration date otherwise specified in Section 2 hereof.</w:t>
      </w:r>
    </w:p>
    <w:p>
      <w:pPr>
        <w:spacing w:after="0" w:line="5" w:lineRule="exact"/>
        <w:rPr>
          <w:rFonts w:ascii="Times New Roman" w:cs="Times New Roman" w:eastAsia="Times New Roman" w:hAnsi="Times New Roman"/>
          <w:sz w:val="22"/>
          <w:szCs w:val="22"/>
          <w:color w:val="auto"/>
        </w:rPr>
      </w:pPr>
    </w:p>
    <w:p>
      <w:pPr>
        <w:jc w:val="both"/>
        <w:ind w:firstLine="510"/>
        <w:spacing w:after="0" w:line="373" w:lineRule="auto"/>
        <w:tabs>
          <w:tab w:leader="none" w:pos="1005"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Optionee who is an employee of the Company or of a direct or indirect subsidiary of the Company retires at an Early Retirement Date (as defined below), without the Optionee having fully exercised any Option granted to him or her, the Optionee shall have the right to exercise the unexercised portion of any Option theretofore granted, but only to the extent said Option was then exercisable in accordance with the schedule set forth in Section 3 of this Agreement, for a period of not more than three (3) months after the date of early retirement (but in no event shall the exercise period extend beyond the day preceding the seventh anniversary of the date of grant of the Option). Thereafter, the Option, to the extent not exercised during such three-month period shall be deemed to have expired, regardless of the expiration date otherwise specified in Section 3 hereof.</w:t>
      </w:r>
    </w:p>
    <w:p>
      <w:pPr>
        <w:spacing w:after="0" w:line="5" w:lineRule="exact"/>
        <w:rPr>
          <w:rFonts w:ascii="Times New Roman" w:cs="Times New Roman" w:eastAsia="Times New Roman" w:hAnsi="Times New Roman"/>
          <w:sz w:val="21"/>
          <w:szCs w:val="21"/>
          <w:color w:val="auto"/>
        </w:rPr>
      </w:pPr>
    </w:p>
    <w:p>
      <w:pPr>
        <w:jc w:val="both"/>
        <w:ind w:firstLine="538"/>
        <w:spacing w:after="0" w:line="362" w:lineRule="auto"/>
        <w:tabs>
          <w:tab w:leader="none" w:pos="1035"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Optionee ceases to be employed by the Company or by a direct or indirect subsidiary of the Company for any reason other than the reasons set forth in subsections (a), (b) and (d) of this Section 5, he or she shall have the right to exercise the unexercised portion of any Option theretofore granted to Optionee, but only to the extent said Option was then exercisable in accordance with the schedule set forth in Section 3 of this Agreement as of the date of termination, for a period of not more than three (3) months after any such termination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3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(but not, in any event, later than the day preceding the seventh anniversary date of the grant of such Option). Thereafter, such Option, to the extent not so exercised during such three-month period, shall be deemed to have expired, regardless of the expiration date otherwise specified in Section 3 hereof.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For purposes of subsections (a) and (b) above:</w:t>
      </w:r>
    </w:p>
    <w:p>
      <w:pPr>
        <w:spacing w:after="0" w:line="125" w:lineRule="exact"/>
        <w:rPr>
          <w:sz w:val="20"/>
          <w:szCs w:val="20"/>
          <w:color w:val="auto"/>
        </w:rPr>
      </w:pPr>
    </w:p>
    <w:p>
      <w:pPr>
        <w:ind w:left="660" w:hanging="4"/>
        <w:spacing w:after="0" w:line="358" w:lineRule="auto"/>
        <w:tabs>
          <w:tab w:leader="none" w:pos="106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year of "Credited Service" shall mean a calendar year in which the Optionee is paid for at least 1,000 hours of employment with the Company or of a subsidiary of the Company.</w:t>
      </w:r>
    </w:p>
    <w:p>
      <w:pPr>
        <w:spacing w:after="0" w:line="1" w:lineRule="exact"/>
        <w:rPr>
          <w:rFonts w:ascii="Times New Roman" w:cs="Times New Roman" w:eastAsia="Times New Roman" w:hAnsi="Times New Roman"/>
          <w:sz w:val="22"/>
          <w:szCs w:val="22"/>
          <w:color w:val="auto"/>
        </w:rPr>
      </w:pPr>
    </w:p>
    <w:p>
      <w:pPr>
        <w:jc w:val="both"/>
        <w:ind w:left="660" w:hanging="4"/>
        <w:spacing w:after="0" w:line="356" w:lineRule="auto"/>
        <w:tabs>
          <w:tab w:leader="none" w:pos="103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"Early Retirement Date" shall mean: the day on which an Optionee who has attained age fifty-five (55), but has not reached age sixty-five (65), with ten (l0) or more years of Credited Service, retires. An Optionee is eligible for early retirement on the first day of the calendar month coincidental with or immediately following the attainment of age fifty-five (55) and the completion of ten (l0) years of Credited Service, and "early retirement" shall mean retirement by an eligible Optionee at the Early Retirement Date.</w:t>
      </w:r>
    </w:p>
    <w:p>
      <w:pPr>
        <w:ind w:left="1020" w:hanging="364"/>
        <w:spacing w:after="0"/>
        <w:tabs>
          <w:tab w:leader="none" w:pos="10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 Retirement Date" shall mean: the day on which an Optionee who has attained age sixty-five (65) with five</w:t>
      </w:r>
    </w:p>
    <w:p>
      <w:pPr>
        <w:spacing w:after="0" w:line="125" w:lineRule="exact"/>
        <w:rPr>
          <w:rFonts w:ascii="Times New Roman" w:cs="Times New Roman" w:eastAsia="Times New Roman" w:hAnsi="Times New Roman"/>
          <w:sz w:val="22"/>
          <w:szCs w:val="22"/>
          <w:color w:val="auto"/>
        </w:rPr>
      </w:pPr>
    </w:p>
    <w:p>
      <w:pPr>
        <w:jc w:val="both"/>
        <w:ind w:left="660"/>
        <w:spacing w:after="0" w:line="3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or more years of Credited Service, retires. An Optionee is eligible for normal retirement on the first day of the calendar month coincident with or immediately following the Optionee's attainment of age sixty-five (65) and completion of five (5) or more years of Credited Service, and "normal retirement" shall mean the retirement by an eligible Optionee at the Normal Retirement Date.</w:t>
      </w:r>
    </w:p>
    <w:p>
      <w:pPr>
        <w:spacing w:after="0" w:line="1" w:lineRule="exact"/>
        <w:rPr>
          <w:rFonts w:ascii="Times New Roman" w:cs="Times New Roman" w:eastAsia="Times New Roman" w:hAnsi="Times New Roman"/>
          <w:sz w:val="22"/>
          <w:szCs w:val="22"/>
          <w:color w:val="auto"/>
        </w:rPr>
      </w:pPr>
    </w:p>
    <w:p>
      <w:pPr>
        <w:jc w:val="both"/>
        <w:ind w:left="660" w:hanging="4"/>
        <w:spacing w:after="0" w:line="358" w:lineRule="auto"/>
        <w:tabs>
          <w:tab w:leader="none" w:pos="99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"permanent physical or mental disability" shall mean: an Optionee's inability to perform his or her job or any position which the Optionee can reasonably perform with his or her background and training by reason of any medically determinable physical or mental impairment which can be expected to result in death or to be of long, continued and indefinite duration.</w:t>
      </w:r>
    </w:p>
    <w:p>
      <w:pPr>
        <w:spacing w:after="0" w:line="2" w:lineRule="exact"/>
        <w:rPr>
          <w:rFonts w:ascii="Times New Roman" w:cs="Times New Roman" w:eastAsia="Times New Roman" w:hAnsi="Times New Roman"/>
          <w:sz w:val="22"/>
          <w:szCs w:val="22"/>
          <w:color w:val="auto"/>
        </w:rPr>
      </w:pPr>
    </w:p>
    <w:p>
      <w:pPr>
        <w:jc w:val="both"/>
        <w:ind w:firstLine="915"/>
        <w:spacing w:after="0" w:line="366" w:lineRule="auto"/>
        <w:tabs>
          <w:tab w:leader="none" w:pos="122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Optionee acknowledges and agrees that this Option, and any and all rights the Optionee may have hereunder, including any rights with respect to any portion of this Option which may have vested in accordance with the Schedule set forth in Section 3 above, shall terminate immediately upon a termination of the Optionee’s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36"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22"/>
          <w:szCs w:val="22"/>
          <w:color w:val="auto"/>
        </w:rPr>
        <w:t>employment with the Company for cause or for any such other reason that casts such discredit on the Optionee as to make termination of the Option appropriate. Whether an Optionee has been terminated for cause or for such other reason that casts such discredit on the Optionee as to make termination of the Option appropriate will be determined by the Administrator in its sole discretion, and in making this determination the Administrator will not be limited by any definition of “Cause” which appears in the Plan. The Optionee’s agreement to the terms in this Section 5(d) are a material condition to the grant of this Option and this Option would not be granted to the Optionee if the Optionee did not agree to such terms.</w:t>
      </w:r>
    </w:p>
    <w:p>
      <w:pPr>
        <w:spacing w:after="0" w:line="3" w:lineRule="exact"/>
        <w:rPr>
          <w:sz w:val="20"/>
          <w:szCs w:val="20"/>
          <w:color w:val="auto"/>
        </w:rPr>
      </w:pPr>
    </w:p>
    <w:p>
      <w:pPr>
        <w:ind w:left="600" w:hanging="376"/>
        <w:spacing w:after="0"/>
        <w:tabs>
          <w:tab w:leader="none" w:pos="6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adjustment provisions set forth in Section 8 of the Plan shall apply to this Option.</w:t>
      </w:r>
    </w:p>
    <w:p>
      <w:pPr>
        <w:spacing w:after="0" w:line="125" w:lineRule="exact"/>
        <w:rPr>
          <w:rFonts w:ascii="Times New Roman" w:cs="Times New Roman" w:eastAsia="Times New Roman" w:hAnsi="Times New Roman"/>
          <w:sz w:val="22"/>
          <w:szCs w:val="22"/>
          <w:color w:val="auto"/>
        </w:rPr>
      </w:pPr>
    </w:p>
    <w:p>
      <w:pPr>
        <w:jc w:val="both"/>
        <w:ind w:firstLine="233"/>
        <w:spacing w:after="0" w:line="355" w:lineRule="auto"/>
        <w:tabs>
          <w:tab w:leader="none" w:pos="60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shall not be transferable by the Optionee, in whole or in part, except in accordance with Section 7 of the Plan, and shall be exercisable only as hereinbefore provided. Any purported assignment, transfer, pledge, hypothecation or other disposition of the Option or any interest therein contrary to the provisions of the Plan, and the levy of any execution to, or the attachment or similar process upon, the Option or any interest therein, shall be null and void and without effect.</w:t>
      </w:r>
    </w:p>
    <w:p>
      <w:pPr>
        <w:spacing w:after="0" w:line="1" w:lineRule="exact"/>
        <w:rPr>
          <w:rFonts w:ascii="Times New Roman" w:cs="Times New Roman" w:eastAsia="Times New Roman" w:hAnsi="Times New Roman"/>
          <w:sz w:val="22"/>
          <w:szCs w:val="22"/>
          <w:color w:val="auto"/>
        </w:rPr>
      </w:pPr>
    </w:p>
    <w:p>
      <w:pPr>
        <w:jc w:val="both"/>
        <w:ind w:firstLine="245"/>
        <w:spacing w:after="0" w:line="358" w:lineRule="auto"/>
        <w:tabs>
          <w:tab w:leader="none" w:pos="63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applicable provisions of the Plan, and particularly to Section 7 of the Plan, this Agreement shall be binding upon and shall inure to the benefit of Optionee, Optionee's successors and permitted assigns, and the Company and its successors and assigns.</w:t>
      </w:r>
    </w:p>
    <w:p>
      <w:pPr>
        <w:spacing w:after="0" w:line="1" w:lineRule="exact"/>
        <w:rPr>
          <w:rFonts w:ascii="Times New Roman" w:cs="Times New Roman" w:eastAsia="Times New Roman" w:hAnsi="Times New Roman"/>
          <w:sz w:val="22"/>
          <w:szCs w:val="22"/>
          <w:color w:val="auto"/>
        </w:rPr>
      </w:pPr>
    </w:p>
    <w:p>
      <w:pPr>
        <w:ind w:firstLine="281"/>
        <w:spacing w:after="0" w:line="352" w:lineRule="auto"/>
        <w:tabs>
          <w:tab w:leader="none" w:pos="709"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 Change in Control the Option will be treated in the manner set forth in the Plan, as such Plan has been amended by the Company’s shareholders through the date of such Change in Control.</w:t>
      </w:r>
    </w:p>
    <w:p>
      <w:pPr>
        <w:ind w:firstLine="274"/>
        <w:spacing w:after="0" w:line="358" w:lineRule="auto"/>
        <w:tabs>
          <w:tab w:leader="none" w:pos="798"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construed and enforced in accordance with the internal laws of the State of Rhode Island and Providence Plantations and applicable Federal law.</w:t>
      </w:r>
    </w:p>
    <w:p>
      <w:pPr>
        <w:spacing w:after="0" w:line="1" w:lineRule="exact"/>
        <w:rPr>
          <w:rFonts w:ascii="Times New Roman" w:cs="Times New Roman" w:eastAsia="Times New Roman" w:hAnsi="Times New Roman"/>
          <w:sz w:val="22"/>
          <w:szCs w:val="22"/>
          <w:color w:val="auto"/>
        </w:rPr>
      </w:pPr>
    </w:p>
    <w:p>
      <w:pPr>
        <w:jc w:val="both"/>
        <w:ind w:firstLine="284"/>
        <w:spacing w:after="0" w:line="361" w:lineRule="auto"/>
        <w:tabs>
          <w:tab w:leader="none" w:pos="815"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terms and conditions of the Plan or this Agreement, unless there is an available exemption from any registration, qualification or other legal requirement applicable to the issuance of this Option or shares of Common Stock the Optionee may become entitled to under this Option in the future, the Company shall not be required to deliver any such securities prior to the completion of any registration or qualification of any such securities under any non-U.S. securities, exchange control or other law, or under the rulings or regulations of any governmental regulatory body, or prior to obtaining any approval or other clearance from any governmental agency, which registration, qualification or approval the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36"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22"/>
          <w:szCs w:val="22"/>
          <w:color w:val="auto"/>
        </w:rPr>
        <w:t>Company shall, in its absolute discretion, deem necessary or advisable. The Optionee understands that the Company is under no obligation to register or qualify any such securities with any non-U.S. securities commission or to seek approval or clearance from any governmental authority for the issuance or sale of any such securities. Further, the Optionee agrees that his or her participation in the trade and acceptance of such securities is voluntary and that the Company shall have unilateral authority to amend the Plan and the Agreement without the Optionee's consent to the extent necessary to comply with securities or other laws applicable to issuance of any such securities.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258"/>
        <w:spacing w:after="0" w:line="363" w:lineRule="auto"/>
        <w:rPr>
          <w:sz w:val="20"/>
          <w:szCs w:val="20"/>
          <w:color w:val="auto"/>
        </w:rPr>
      </w:pPr>
      <w:r>
        <w:rPr>
          <w:rFonts w:ascii="Times New Roman" w:cs="Times New Roman" w:eastAsia="Times New Roman" w:hAnsi="Times New Roman"/>
          <w:sz w:val="22"/>
          <w:szCs w:val="22"/>
          <w:color w:val="auto"/>
        </w:rPr>
        <w:t>IN WITNESS WHEREOF, the Company and the Optionee have entered into this Agreement effective as of the day and year first above written. By accepting the terms of the award represented by this Agreement through an electronic form offered by the Company, or the Company’s designee, the Optionee hereby agrees to the terms of this Agreement with the same effect as if the Optionee had signed this Agreement.</w:t>
      </w: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HASBRO, INC.</w:t>
      </w:r>
    </w:p>
    <w:p>
      <w:pPr>
        <w:spacing w:after="0" w:line="3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 /s/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1468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1146810" cy="8890"/>
                    </a:xfrm>
                    <a:prstGeom prst="rect">
                      <a:avLst/>
                    </a:prstGeom>
                    <a:noFill/>
                  </pic:spPr>
                </pic:pic>
              </a:graphicData>
            </a:graphic>
          </wp:anchor>
        </w:drawing>
      </w:r>
    </w:p>
    <w:p>
      <w:pPr>
        <w:ind w:left="280"/>
        <w:spacing w:after="0" w:line="204" w:lineRule="auto"/>
        <w:rPr>
          <w:sz w:val="20"/>
          <w:szCs w:val="20"/>
          <w:color w:val="auto"/>
        </w:rPr>
      </w:pPr>
      <w:r>
        <w:rPr>
          <w:rFonts w:ascii="Times New Roman" w:cs="Times New Roman" w:eastAsia="Times New Roman" w:hAnsi="Times New Roman"/>
          <w:sz w:val="22"/>
          <w:szCs w:val="22"/>
          <w:color w:val="auto"/>
        </w:rPr>
        <w:t>Deborah Thomas</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Executive Vice President and Chief Financial Officer</w:t>
      </w:r>
    </w:p>
    <w:p>
      <w:pPr>
        <w:spacing w:after="0" w:line="200" w:lineRule="exact"/>
        <w:rPr>
          <w:sz w:val="20"/>
          <w:szCs w:val="20"/>
          <w:color w:val="auto"/>
        </w:rPr>
      </w:pP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By: _________________________</w:t>
      </w:r>
    </w:p>
    <w:p>
      <w:pPr>
        <w:ind w:left="1080"/>
        <w:spacing w:after="0"/>
        <w:rPr>
          <w:sz w:val="20"/>
          <w:szCs w:val="20"/>
          <w:color w:val="auto"/>
        </w:rPr>
      </w:pPr>
      <w:r>
        <w:rPr>
          <w:rFonts w:ascii="Times New Roman" w:cs="Times New Roman" w:eastAsia="Times New Roman" w:hAnsi="Times New Roman"/>
          <w:sz w:val="22"/>
          <w:szCs w:val="22"/>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(WITH NON-COMPETE)</w:t>
      </w:r>
    </w:p>
    <w:p>
      <w:pPr>
        <w:spacing w:after="0" w:line="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_________________, 2022 GRANT</w:t>
      </w:r>
    </w:p>
    <w:p>
      <w:pPr>
        <w:spacing w:after="0" w:line="182" w:lineRule="exact"/>
        <w:rPr>
          <w:sz w:val="20"/>
          <w:szCs w:val="20"/>
          <w:color w:val="auto"/>
        </w:rPr>
      </w:pPr>
    </w:p>
    <w:p>
      <w:pPr>
        <w:ind w:right="780" w:firstLine="212"/>
        <w:spacing w:after="0" w:line="236" w:lineRule="auto"/>
        <w:rPr>
          <w:sz w:val="20"/>
          <w:szCs w:val="20"/>
          <w:color w:val="auto"/>
        </w:rPr>
      </w:pPr>
      <w:r>
        <w:rPr>
          <w:rFonts w:ascii="Times New Roman" w:cs="Times New Roman" w:eastAsia="Times New Roman" w:hAnsi="Times New Roman"/>
          <w:sz w:val="22"/>
          <w:szCs w:val="22"/>
          <w:color w:val="auto"/>
        </w:rPr>
        <w:t>THIS AGREEMENT, entered into effective as of the Grant Date (as defined in Section 1), is made by and between the Participant (as defined in Section 1) and Hasbro, Inc. (the “Company”).</w:t>
      </w:r>
    </w:p>
    <w:p>
      <w:pPr>
        <w:spacing w:after="0" w:line="177" w:lineRule="exact"/>
        <w:rPr>
          <w:sz w:val="20"/>
          <w:szCs w:val="20"/>
          <w:color w:val="auto"/>
        </w:rPr>
      </w:pPr>
    </w:p>
    <w:p>
      <w:pPr>
        <w:ind w:firstLine="212"/>
        <w:spacing w:after="0" w:line="220" w:lineRule="auto"/>
        <w:rPr>
          <w:sz w:val="20"/>
          <w:szCs w:val="20"/>
          <w:color w:val="auto"/>
        </w:rPr>
      </w:pPr>
      <w:r>
        <w:rPr>
          <w:rFonts w:ascii="Times New Roman" w:cs="Times New Roman" w:eastAsia="Times New Roman" w:hAnsi="Times New Roman"/>
          <w:sz w:val="22"/>
          <w:szCs w:val="22"/>
          <w:color w:val="auto"/>
        </w:rPr>
        <w:t xml:space="preserve">WHEREAS, the Company maintains the Restated 2003 Stock Incentive Performance Plan, as amended (the “Plan”), a copy of which is annexed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provisions of which are incorporated herein as if set forth in full, and the Participant has been selected by the Compensation Committee of the Board of Directors of the Company (the “Committee”), which administers the Plan, to receive an award of restricted stock units under the Plan;</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the Participant, as follows:</w:t>
      </w:r>
    </w:p>
    <w:p>
      <w:pPr>
        <w:spacing w:after="0" w:line="206"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w:t>
      </w:r>
      <w:r>
        <w:rPr>
          <w:rFonts w:ascii="Times New Roman" w:cs="Times New Roman" w:eastAsia="Times New Roman" w:hAnsi="Times New Roman"/>
          <w:sz w:val="22"/>
          <w:szCs w:val="22"/>
          <w:color w:val="auto"/>
        </w:rPr>
        <w:t>. The following terms used in this Agreement shall have the meanings set forth in this Section 1:</w:t>
      </w:r>
    </w:p>
    <w:p>
      <w:pPr>
        <w:spacing w:after="0" w:line="206" w:lineRule="exact"/>
        <w:rPr>
          <w:rFonts w:ascii="Times New Roman" w:cs="Times New Roman" w:eastAsia="Times New Roman" w:hAnsi="Times New Roman"/>
          <w:sz w:val="22"/>
          <w:szCs w:val="22"/>
          <w:color w:val="auto"/>
        </w:rPr>
      </w:pPr>
    </w:p>
    <w:p>
      <w:pPr>
        <w:ind w:left="640" w:hanging="428"/>
        <w:spacing w:after="0"/>
        <w:tabs>
          <w:tab w:leader="none" w:pos="6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the designated restricted stock unit award recipient.</w:t>
      </w:r>
    </w:p>
    <w:p>
      <w:pPr>
        <w:spacing w:after="0" w:line="206" w:lineRule="exact"/>
        <w:rPr>
          <w:rFonts w:ascii="Times New Roman" w:cs="Times New Roman" w:eastAsia="Times New Roman" w:hAnsi="Times New Roman"/>
          <w:sz w:val="22"/>
          <w:szCs w:val="22"/>
          <w:color w:val="auto"/>
        </w:rPr>
      </w:pPr>
    </w:p>
    <w:p>
      <w:pPr>
        <w:ind w:left="640" w:hanging="416"/>
        <w:spacing w:after="0"/>
        <w:tabs>
          <w:tab w:leader="none" w:pos="6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Date” is__________, 2022.</w:t>
      </w:r>
    </w:p>
    <w:p>
      <w:pPr>
        <w:spacing w:after="0" w:line="260" w:lineRule="exact"/>
        <w:rPr>
          <w:rFonts w:ascii="Times New Roman" w:cs="Times New Roman" w:eastAsia="Times New Roman" w:hAnsi="Times New Roman"/>
          <w:sz w:val="22"/>
          <w:szCs w:val="22"/>
          <w:color w:val="auto"/>
        </w:rPr>
      </w:pPr>
    </w:p>
    <w:p>
      <w:pPr>
        <w:ind w:right="40" w:firstLine="288"/>
        <w:spacing w:after="0" w:line="22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The “Vesting Period” is the three-year period beginning on the Grant Date and ending on ________________, with the Participant becoming vested, subject to the terms of this Agreement, in one-third (33 1/3%) of the Stock Units and the Stock Unit Account on each of ________________, ________________ and ________________ (each of such dates referred to hereafter as an “Annual Vesting Date”).</w:t>
      </w:r>
    </w:p>
    <w:p>
      <w:pPr>
        <w:spacing w:after="0" w:line="180" w:lineRule="exact"/>
        <w:rPr>
          <w:rFonts w:ascii="Times New Roman" w:cs="Times New Roman" w:eastAsia="Times New Roman" w:hAnsi="Times New Roman"/>
          <w:sz w:val="22"/>
          <w:szCs w:val="22"/>
          <w:color w:val="auto"/>
        </w:rPr>
      </w:pPr>
    </w:p>
    <w:p>
      <w:pPr>
        <w:ind w:right="380" w:firstLine="224"/>
        <w:spacing w:after="0" w:line="236" w:lineRule="auto"/>
        <w:tabs>
          <w:tab w:leader="none" w:pos="642"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Units are notional shares of the Company’s common stock, par value $.50 per share (“Common Stock”) granted under this Agreement and subject to the terms of this Agreement and the Plan.</w:t>
      </w:r>
    </w:p>
    <w:p>
      <w:pPr>
        <w:spacing w:after="0" w:line="177" w:lineRule="exact"/>
        <w:rPr>
          <w:rFonts w:ascii="Times New Roman" w:cs="Times New Roman" w:eastAsia="Times New Roman" w:hAnsi="Times New Roman"/>
          <w:sz w:val="22"/>
          <w:szCs w:val="22"/>
          <w:color w:val="auto"/>
        </w:rPr>
      </w:pPr>
    </w:p>
    <w:p>
      <w:pPr>
        <w:ind w:right="340" w:firstLine="224"/>
        <w:spacing w:after="0" w:line="222" w:lineRule="auto"/>
        <w:tabs>
          <w:tab w:leader="none" w:pos="618"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Contingent upon and in consideration for the Participant having executed and delivered to the Company’s designated contact no later than __________, 2022 a Non-Competition, Non-Solicitation and Confidentiality Agreement (the “Non-Compete Agreement”) between the Participant and the Company in the form provided to the Participant by the Company (or otherwise confirming the terms of the Participant’s existing Non-Compete Agreement are still effective), the Company hereby grants to the Participant effective on the Grant Date, pursuant to the Plan, the Stock Units. For the avoidance of doubt, if the Participant has not executed and delivered to the Company’s designated contact the Non-Compete Agreement (or otherwise confirmed the terms of the Participant’s existing Non-Compete Agreement) on or before __________, 2022, the grant of the Stock Units represented by this Agreement will never take effect and will be null and void.</w:t>
      </w:r>
    </w:p>
    <w:p>
      <w:pPr>
        <w:spacing w:after="0" w:line="184" w:lineRule="exact"/>
        <w:rPr>
          <w:rFonts w:ascii="Times New Roman" w:cs="Times New Roman" w:eastAsia="Times New Roman" w:hAnsi="Times New Roman"/>
          <w:sz w:val="21"/>
          <w:szCs w:val="21"/>
          <w:color w:val="auto"/>
        </w:rPr>
      </w:pPr>
    </w:p>
    <w:p>
      <w:pPr>
        <w:ind w:right="20" w:firstLine="224"/>
        <w:spacing w:after="0" w:line="220" w:lineRule="auto"/>
        <w:tabs>
          <w:tab w:leader="none" w:pos="589"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Award the Participant hereby acknowledges and agrees that (i) this Award, and any Stock Units or shares of Common Stock the Participant may become entitled to under this Award in the future, and any proceeds from selling any such shares of Common Stock, as well as any other incentive compensation the Participant is granted, is subject to the Company’s Clawback Policy, which was adopted</w:t>
      </w:r>
    </w:p>
    <w:p>
      <w:pPr>
        <w:sectPr>
          <w:pgSz w:w="11900" w:h="16838" w:orient="portrait"/>
          <w:cols w:equalWidth="0" w:num="1">
            <w:col w:w="11240"/>
          </w:cols>
          <w:pgMar w:left="320" w:top="104" w:right="339" w:bottom="1440" w:gutter="0" w:footer="0" w:header="0"/>
        </w:sectPr>
      </w:pPr>
    </w:p>
    <w:bookmarkStart w:id="80" w:name="page81"/>
    <w:bookmarkEnd w:id="80"/>
    <w:p>
      <w:pPr>
        <w:spacing w:after="0" w:line="221" w:lineRule="auto"/>
        <w:rPr>
          <w:sz w:val="20"/>
          <w:szCs w:val="20"/>
          <w:color w:val="auto"/>
        </w:rPr>
      </w:pPr>
      <w:r>
        <w:rPr>
          <w:rFonts w:ascii="Times New Roman" w:cs="Times New Roman" w:eastAsia="Times New Roman" w:hAnsi="Times New Roman"/>
          <w:sz w:val="21"/>
          <w:szCs w:val="21"/>
          <w:color w:val="auto"/>
        </w:rPr>
        <w:t>by the Company’s Board of Directors in October 2012, as it may be amended from time to time by the Board in the future and (ii) the Participant is subject to and bound by the terms of the Non-Compete Agreement. Such acknowledgements and agreements are material conditions to receiving this Award, which would not have been made to the Participant otherwise. Additionally, the Participant acknowledges and agrees that if the Participant is or becomes subject to the Hasbro, Inc. Executive Stock Ownership Policy, effective as of March 1, 2014, as it may be amended from time to time by the Board in the future (the “Stock Ownership Policy”), then by accepting this Award and any shares that the Participant may acquire in the future pursuant to this Award, as well as any other equity-based incentive compensation the Participant is granted after the Participant becomes subject to the Stock Ownership Policy, the Participant agrees that the Participant will be subject to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w:t>
      </w:r>
    </w:p>
    <w:p>
      <w:pPr>
        <w:spacing w:after="0" w:line="179" w:lineRule="exact"/>
        <w:rPr>
          <w:sz w:val="20"/>
          <w:szCs w:val="20"/>
          <w:color w:val="auto"/>
        </w:rPr>
      </w:pPr>
    </w:p>
    <w:p>
      <w:pPr>
        <w:ind w:right="40" w:firstLine="224"/>
        <w:spacing w:after="0" w:line="215" w:lineRule="auto"/>
        <w:tabs>
          <w:tab w:leader="none" w:pos="64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record-keeping purposes only, the Company shall maintain an account with respect to this restricted stock unit award (a “Stock Unit Account”) for the Participant where Stock Units related to this award shall be accumulated and accounted for by the Company. Without limiting the provisions of Section 8(b) of the Plan, in the event the Company pays a stock dividend or reclassifies or divides or combines its outstanding Common Stock then an appropriate adjustment shall be made in the number of Stock Units held in the Stock Unit Account. The Stock Unit Account will reflect notional fractional shares of Common Stock to the nearest hundredth of a share on a one Stock Unit for one share of Common Stock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terms used in this Agreement are defined pursuant to Section 7 or elsewhere in this Agreement.</w:t>
      </w:r>
    </w:p>
    <w:p>
      <w:pPr>
        <w:spacing w:after="0" w:line="206"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Participant is hereby granted the number of Stock Units referenced in the Participant’s Stock Unit Account.</w:t>
      </w:r>
    </w:p>
    <w:p>
      <w:pPr>
        <w:spacing w:after="0" w:line="206" w:lineRule="exact"/>
        <w:rPr>
          <w:rFonts w:ascii="Times New Roman" w:cs="Times New Roman" w:eastAsia="Times New Roman" w:hAnsi="Times New Roman"/>
          <w:sz w:val="22"/>
          <w:szCs w:val="22"/>
          <w:color w:val="auto"/>
        </w:rPr>
      </w:pPr>
    </w:p>
    <w:p>
      <w:pPr>
        <w:ind w:right="20" w:firstLine="8"/>
        <w:spacing w:after="0" w:line="211" w:lineRule="auto"/>
        <w:tabs>
          <w:tab w:leader="none" w:pos="37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and Voting Rights</w:t>
      </w:r>
      <w:r>
        <w:rPr>
          <w:rFonts w:ascii="Times New Roman" w:cs="Times New Roman" w:eastAsia="Times New Roman" w:hAnsi="Times New Roman"/>
          <w:sz w:val="22"/>
          <w:szCs w:val="22"/>
          <w:color w:val="auto"/>
        </w:rPr>
        <w:t>. On the date that the Company pays a cash dividend to holders of Common Stock, unless otherwise determined by the Committee in its sole discretion, the Company shall credit each unvested Stock Unit with a dividend equivalent unit (“DEU”). DEUs will be calculated at the same dividend rate paid to other holders of shares of Common Stock and will equal the total number of unvested Stock Units multiplied by the dollar amount of the cash dividend paid per share of Common Stock by the Company on such date divided by the Fair Market Value (as defined in the Plan) of a share of Common Stock on such date. DEUs will be credited in whole shares only and any residual amount that cannot be converted to a whole share shall be aggregated with the immediately following dividend and used to calculate the DEUs attributable to such dividend, as described above. DEUs shall be subject to the same terms and conditions as the underlying Stock Units and will vest in accordance with the vesting schedule applicable to the underlying Stock Units. The Participant shall not be entitled to any voting rights with respect to the DEUs, the Stock Units or the Stock Unit Account prior to vesting.</w:t>
      </w:r>
    </w:p>
    <w:p>
      <w:pPr>
        <w:spacing w:after="0" w:line="178" w:lineRule="exact"/>
        <w:rPr>
          <w:rFonts w:ascii="Times New Roman" w:cs="Times New Roman" w:eastAsia="Times New Roman" w:hAnsi="Times New Roman"/>
          <w:sz w:val="22"/>
          <w:szCs w:val="22"/>
          <w:color w:val="auto"/>
        </w:rPr>
      </w:pPr>
    </w:p>
    <w:p>
      <w:pPr>
        <w:jc w:val="both"/>
        <w:ind w:right="140" w:firstLine="8"/>
        <w:spacing w:after="0" w:line="220" w:lineRule="auto"/>
        <w:tabs>
          <w:tab w:leader="none" w:pos="37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Forfeiture of Units</w:t>
      </w:r>
      <w:r>
        <w:rPr>
          <w:rFonts w:ascii="Times New Roman" w:cs="Times New Roman" w:eastAsia="Times New Roman" w:hAnsi="Times New Roman"/>
          <w:sz w:val="22"/>
          <w:szCs w:val="22"/>
          <w:color w:val="auto"/>
        </w:rPr>
        <w:t>. Subject to earlier vesting (either in whole or in part as applicable) only in the situations and under the terms which are explicitly provided for in the following paragraphs, on each Annual Vesting Date the Participant shall become vested in the portion of the Stock Units and Stock Unit Account subject to this Agreement that is specified in Section 1.C. of this Agreement, provided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395" w:right="359" w:bottom="1440" w:gutter="0" w:footer="0" w:header="0"/>
        </w:sectPr>
      </w:pPr>
    </w:p>
    <w:bookmarkStart w:id="81" w:name="page82"/>
    <w:bookmarkEnd w:id="81"/>
    <w:p>
      <w:pPr>
        <w:ind w:right="340"/>
        <w:spacing w:after="0" w:line="236" w:lineRule="auto"/>
        <w:rPr>
          <w:sz w:val="20"/>
          <w:szCs w:val="20"/>
          <w:color w:val="auto"/>
        </w:rPr>
      </w:pPr>
      <w:r>
        <w:rPr>
          <w:rFonts w:ascii="Times New Roman" w:cs="Times New Roman" w:eastAsia="Times New Roman" w:hAnsi="Times New Roman"/>
          <w:sz w:val="22"/>
          <w:szCs w:val="22"/>
          <w:color w:val="auto"/>
        </w:rPr>
        <w:t>Participant has remained employed and remains employed with the Company through and including the last day of the period ending on the applicable Annual Vesting Date.</w:t>
      </w:r>
    </w:p>
    <w:p>
      <w:pPr>
        <w:spacing w:after="0" w:line="177" w:lineRule="exact"/>
        <w:rPr>
          <w:sz w:val="20"/>
          <w:szCs w:val="20"/>
          <w:color w:val="auto"/>
        </w:rPr>
      </w:pPr>
    </w:p>
    <w:p>
      <w:pPr>
        <w:ind w:right="380" w:firstLine="212"/>
        <w:spacing w:after="0" w:line="225" w:lineRule="auto"/>
        <w:tabs>
          <w:tab w:leader="none" w:pos="68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(as defined below), occurs prior to the end of the Vesting Period, then in connection with such Change in Control the Stock Units will be treated in the manner set forth in the Plan, as such Plan has been amended by the Company’s shareholders through the date of such Change in Control.</w:t>
      </w:r>
    </w:p>
    <w:p>
      <w:pPr>
        <w:spacing w:after="0" w:line="179" w:lineRule="exact"/>
        <w:rPr>
          <w:rFonts w:ascii="Times New Roman" w:cs="Times New Roman" w:eastAsia="Times New Roman" w:hAnsi="Times New Roman"/>
          <w:sz w:val="22"/>
          <w:szCs w:val="22"/>
          <w:color w:val="auto"/>
        </w:rPr>
      </w:pPr>
    </w:p>
    <w:p>
      <w:pPr>
        <w:ind w:right="40" w:firstLine="224"/>
        <w:spacing w:after="0" w:line="219" w:lineRule="auto"/>
        <w:tabs>
          <w:tab w:leader="none" w:pos="68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otherwise become vested in a pro-rata portion of any then unvested Stock Units and Stock Unit Account subject to this Agreement as of the Participant’s Date of Termination prior to the end of the Vesting Period, but only if the Participant’s Date of Termination occurs by reason of either (i) the Participant’s retirement at his or her Normal Retirement Date (as defined below) or Early Retirement Date (as defined below), or (ii) for a Participant who has at least one year of Credited Service (as defined below), the Participant’s death or Participant’s suffering a Permanent Physical or Mental Disability (as defined below). In the case of a Termination of Employment covered by this Section 4.B., the Participant will become entitled, as of the date of the Termination of Employment, to a portion of any then unvested Stock Units and Stock Unit Account subject to this Agreement, which portion is computed by multiplying the full number of any then unvested Stock Units subject to this Agreement by a fraction, the numerator of which is the number of days in the remaining Vesting Period after the most recent Annual Vesting Date that has been achieved, if any (i.e., the number of days elapsed since the Grant Date or any later Annual Vesting Date that has occurred) which have already elapsed as of the day of the Participant’s Termination of Employment, inclusive of the actual day on which there is a Termination of Employment, and the denominator of which is the total number of days in the Vesting Period remaining since either the Grant Date or any later Annual Vesting Date that has occurred. The Participant will forfeit that portion of the Stock Unit Account which has not vested in accordance with the foregoing provision.</w:t>
      </w:r>
    </w:p>
    <w:p>
      <w:pPr>
        <w:spacing w:after="0" w:line="182" w:lineRule="exact"/>
        <w:rPr>
          <w:rFonts w:ascii="Times New Roman" w:cs="Times New Roman" w:eastAsia="Times New Roman" w:hAnsi="Times New Roman"/>
          <w:sz w:val="21"/>
          <w:szCs w:val="21"/>
          <w:color w:val="auto"/>
        </w:rPr>
      </w:pPr>
    </w:p>
    <w:p>
      <w:pPr>
        <w:ind w:firstLine="224"/>
        <w:spacing w:after="0" w:line="213" w:lineRule="auto"/>
        <w:tabs>
          <w:tab w:leader="none" w:pos="68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Date of Termination occurs prior to the end of the Vesting Period for any reason other than the reasons set forth in the preceding Section 4.B., including, without limitation, if the Participant’s employment is terminated by the Company for cause or for such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in the Plan), then the remaining award of Stock Units pursuant to this Agreement shall be forfeited and terminate effective as of such Date of Termination, and the Participant shall not be entitled to any further stock pursuant to this award or any other benefits of this award.</w:t>
      </w:r>
    </w:p>
    <w:p>
      <w:pPr>
        <w:spacing w:after="0" w:line="183" w:lineRule="exact"/>
        <w:rPr>
          <w:rFonts w:ascii="Times New Roman" w:cs="Times New Roman" w:eastAsia="Times New Roman" w:hAnsi="Times New Roman"/>
          <w:sz w:val="22"/>
          <w:szCs w:val="22"/>
          <w:color w:val="auto"/>
        </w:rPr>
      </w:pPr>
    </w:p>
    <w:p>
      <w:pPr>
        <w:ind w:right="240" w:firstLine="224"/>
        <w:spacing w:after="0" w:line="236" w:lineRule="auto"/>
        <w:tabs>
          <w:tab w:leader="none" w:pos="692"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Units and the Stock Unit Account may not be sold, assigned, transferred, pledged or otherwise encumbered, except to the extent otherwise provided by either the terms of the Plan or by the Committee.</w:t>
      </w:r>
    </w:p>
    <w:p>
      <w:pPr>
        <w:spacing w:after="0" w:line="177" w:lineRule="exact"/>
        <w:rPr>
          <w:rFonts w:ascii="Times New Roman" w:cs="Times New Roman" w:eastAsia="Times New Roman" w:hAnsi="Times New Roman"/>
          <w:sz w:val="22"/>
          <w:szCs w:val="22"/>
          <w:color w:val="auto"/>
        </w:rPr>
      </w:pPr>
    </w:p>
    <w:p>
      <w:pPr>
        <w:ind w:right="20" w:firstLine="8"/>
        <w:spacing w:after="0" w:line="225" w:lineRule="auto"/>
        <w:tabs>
          <w:tab w:leader="none" w:pos="37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in Shares of Common Stock</w:t>
      </w:r>
      <w:r>
        <w:rPr>
          <w:rFonts w:ascii="Times New Roman" w:cs="Times New Roman" w:eastAsia="Times New Roman" w:hAnsi="Times New Roman"/>
          <w:sz w:val="21"/>
          <w:szCs w:val="21"/>
          <w:color w:val="auto"/>
        </w:rPr>
        <w:t>. Provided that a portion of the Participant’s interest in the Stock Units and the Stock Unit Account has vested in accordance with the provisions of Section 4 above, the Participant’s Stock Unit Account, or applicable portion thereof, shall be converted into actual shares of Common Stock upon the date of such vesting. Such conversion: (i) if it occurs in connection with a termination of the Participant’s employment following a Change in Control under the conditions set forth in the Plan, will occur upon the Date of Termination, (ii) will occur upon the Date of Termination, in the case that Section 4.B. is applicable, or (iii) will occur on the applicable Annual Vesting Date, in the case that the Participant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395" w:right="379" w:bottom="1440" w:gutter="0" w:footer="0" w:header="0"/>
        </w:sectPr>
      </w:pPr>
    </w:p>
    <w:bookmarkStart w:id="82" w:name="page83"/>
    <w:bookmarkEnd w:id="82"/>
    <w:p>
      <w:pPr>
        <w:ind w:right="20"/>
        <w:spacing w:after="0" w:line="212" w:lineRule="auto"/>
        <w:rPr>
          <w:sz w:val="20"/>
          <w:szCs w:val="20"/>
          <w:color w:val="auto"/>
        </w:rPr>
      </w:pPr>
      <w:r>
        <w:rPr>
          <w:rFonts w:ascii="Times New Roman" w:cs="Times New Roman" w:eastAsia="Times New Roman" w:hAnsi="Times New Roman"/>
          <w:sz w:val="22"/>
          <w:szCs w:val="22"/>
          <w:color w:val="auto"/>
        </w:rPr>
        <w:t>remained employed through the end of the applicable Annual Vesting Date. The conversion of Stock Units will occur on the basis of one share of Common Stock for every one Stock Unit which vests. Such shares of Common Stock shall be registered in the name of the Participant effective as of the date of conversion and shall be delivered to the Participant within a reasonable time thereafter in the manner determined by the Company in the Company’s election, which may be by electronic delivery to an account of the Participant or in such other manner as designated by the Company, subject to any different treatment called for or allowed by the terms of the Plan relating to a Change in Control. To the extent that there are notional fractional shares of Common Stock in a Stock Unit Account which have vested upon settlement, such notional fractional shares shall be rounded to the nearest whole share in determining the number of shares of Common Stock to be received upon conversion.</w:t>
      </w:r>
    </w:p>
    <w:p>
      <w:pPr>
        <w:spacing w:after="0" w:line="183" w:lineRule="exact"/>
        <w:rPr>
          <w:sz w:val="20"/>
          <w:szCs w:val="20"/>
          <w:color w:val="auto"/>
        </w:rPr>
      </w:pPr>
    </w:p>
    <w:p>
      <w:pPr>
        <w:ind w:right="140" w:firstLine="8"/>
        <w:spacing w:after="0" w:line="222" w:lineRule="auto"/>
        <w:tabs>
          <w:tab w:leader="none" w:pos="37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Income Taxes</w:t>
      </w:r>
      <w:r>
        <w:rPr>
          <w:rFonts w:ascii="Times New Roman" w:cs="Times New Roman" w:eastAsia="Times New Roman" w:hAnsi="Times New Roman"/>
          <w:sz w:val="21"/>
          <w:szCs w:val="21"/>
          <w:color w:val="auto"/>
        </w:rPr>
        <w:t>. The Participant shall pay to the Company promptly upon request, and in any event at the time the Participant recognizes taxable income in respect of the shares of Common Stock received by the Participant upon the conversion of all or a portion of the Participant’s Stock Unit Account, an amount equal to the taxes the Company determines it is required to withhold under applicable tax laws with respect to such shares of Common Stock. Such payment shall be made in the form of cash, the delivery of shares of Common Stock already owned or by withholding such number of actual shares otherwise deliverable pursuant to this Agreement as is equal to the withholding tax due, or in a combination of such methods. In the event that the Participant does not affirmatively instruct the Company ahead of the applicable vesting date that he or she wishes to pay withholding taxes in another manner specified above, the Company shall withhold shares from the settlement of the Award.</w:t>
      </w:r>
    </w:p>
    <w:p>
      <w:pPr>
        <w:spacing w:after="0" w:line="184"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terms used in this Agreement shall be subject to the following:</w:t>
      </w:r>
    </w:p>
    <w:p>
      <w:pPr>
        <w:spacing w:after="0" w:line="206" w:lineRule="exact"/>
        <w:rPr>
          <w:rFonts w:ascii="Times New Roman" w:cs="Times New Roman" w:eastAsia="Times New Roman" w:hAnsi="Times New Roman"/>
          <w:sz w:val="22"/>
          <w:szCs w:val="22"/>
          <w:color w:val="auto"/>
        </w:rPr>
      </w:pPr>
    </w:p>
    <w:p>
      <w:pPr>
        <w:ind w:left="640" w:hanging="428"/>
        <w:spacing w:after="0"/>
        <w:tabs>
          <w:tab w:leader="none" w:pos="64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The term “Change in Control” shall have the meaning ascribed to it in the Plan.</w:t>
      </w:r>
    </w:p>
    <w:p>
      <w:pPr>
        <w:spacing w:after="0" w:line="206" w:lineRule="exact"/>
        <w:rPr>
          <w:rFonts w:ascii="Times New Roman" w:cs="Times New Roman" w:eastAsia="Times New Roman" w:hAnsi="Times New Roman"/>
          <w:sz w:val="22"/>
          <w:szCs w:val="22"/>
          <w:color w:val="auto"/>
        </w:rPr>
      </w:pPr>
    </w:p>
    <w:p>
      <w:pPr>
        <w:ind w:right="500" w:firstLine="224"/>
        <w:spacing w:after="0" w:line="236" w:lineRule="auto"/>
        <w:tabs>
          <w:tab w:leader="none" w:pos="63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Credited Service</w:t>
      </w:r>
      <w:r>
        <w:rPr>
          <w:rFonts w:ascii="Times New Roman" w:cs="Times New Roman" w:eastAsia="Times New Roman" w:hAnsi="Times New Roman"/>
          <w:sz w:val="22"/>
          <w:szCs w:val="22"/>
          <w:color w:val="auto"/>
        </w:rPr>
        <w:t>. A year of “Credited Service” shall mean a calendar year in which the Participant is paid for at least 1,000 hours of employment with the Company or of a Subsidiary of the Company.</w:t>
      </w:r>
    </w:p>
    <w:p>
      <w:pPr>
        <w:spacing w:after="0" w:line="177" w:lineRule="exact"/>
        <w:rPr>
          <w:rFonts w:ascii="Times New Roman" w:cs="Times New Roman" w:eastAsia="Times New Roman" w:hAnsi="Times New Roman"/>
          <w:sz w:val="22"/>
          <w:szCs w:val="22"/>
          <w:color w:val="auto"/>
        </w:rPr>
      </w:pPr>
    </w:p>
    <w:p>
      <w:pPr>
        <w:ind w:right="40" w:firstLine="224"/>
        <w:spacing w:after="0" w:line="211" w:lineRule="auto"/>
        <w:tabs>
          <w:tab w:leader="none" w:pos="63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The Participant’s “Date of Termination” shall be the first day occurring on or after the Grant Date on which the Participant is not employed (a “Termination of Employment”) by the Company or any entity directly or indirectly controlled by the Company (a “Subsidiary”), regardless of the reason for the Termination of Employment; provided that a Termination of Employment shall not be deemed to occur by reason of a transfer of the Participant between the Company and a Subsidiary or between two Subsidiaries; and further provided that the Participant’s employment shall not be considered terminated while the Participant is on a leave of absence from the Company or a Subsidiary approved by the Participant’s employer. If, as a result of a sale or other transaction, the Participant’s employer ceases to be a Subsidiary (and the Participant’s employer is or becomes an entity that is separate from the Company), the occurrence of such transaction shall be treated as the Participant’s Date of Termination caused by the Participant being discharged by the employer.</w:t>
      </w:r>
    </w:p>
    <w:p>
      <w:pPr>
        <w:spacing w:after="0" w:line="185" w:lineRule="exact"/>
        <w:rPr>
          <w:rFonts w:ascii="Times New Roman" w:cs="Times New Roman" w:eastAsia="Times New Roman" w:hAnsi="Times New Roman"/>
          <w:sz w:val="22"/>
          <w:szCs w:val="22"/>
          <w:color w:val="auto"/>
        </w:rPr>
      </w:pPr>
    </w:p>
    <w:p>
      <w:pPr>
        <w:ind w:firstLine="224"/>
        <w:spacing w:after="0" w:line="225" w:lineRule="auto"/>
        <w:tabs>
          <w:tab w:leader="none" w:pos="642"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Early Retirement Date.</w:t>
      </w:r>
      <w:r>
        <w:rPr>
          <w:rFonts w:ascii="Times New Roman" w:cs="Times New Roman" w:eastAsia="Times New Roman" w:hAnsi="Times New Roman"/>
          <w:sz w:val="22"/>
          <w:szCs w:val="22"/>
          <w:color w:val="auto"/>
        </w:rPr>
        <w:t xml:space="preserve"> The term "Early Retirement Date" shall mean: the day on which a Participant who has attained age fifty-five (55), but has not reached age sixty-five (65), with ten (l0) or more years of Credited Service, retires. A Participant is eligible for early retirement on the first day of the calendar month coincidental with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95" w:right="339" w:bottom="1440" w:gutter="0" w:footer="0" w:header="0"/>
        </w:sectPr>
      </w:pPr>
    </w:p>
    <w:bookmarkStart w:id="83" w:name="page84"/>
    <w:bookmarkEnd w:id="83"/>
    <w:p>
      <w:pPr>
        <w:ind w:right="260"/>
        <w:spacing w:after="0" w:line="236" w:lineRule="auto"/>
        <w:rPr>
          <w:sz w:val="20"/>
          <w:szCs w:val="20"/>
          <w:color w:val="auto"/>
        </w:rPr>
      </w:pPr>
      <w:r>
        <w:rPr>
          <w:rFonts w:ascii="Times New Roman" w:cs="Times New Roman" w:eastAsia="Times New Roman" w:hAnsi="Times New Roman"/>
          <w:sz w:val="22"/>
          <w:szCs w:val="22"/>
          <w:color w:val="auto"/>
        </w:rPr>
        <w:t>immediately following the attainment of age fifty-five (55) and the completion of ten (l0) years of Credited Service, and "early retirement" shall mean retirement by an eligible Participant at the Early Retirement Date.</w:t>
      </w:r>
    </w:p>
    <w:p>
      <w:pPr>
        <w:spacing w:after="0" w:line="177" w:lineRule="exact"/>
        <w:rPr>
          <w:sz w:val="20"/>
          <w:szCs w:val="20"/>
          <w:color w:val="auto"/>
        </w:rPr>
      </w:pPr>
    </w:p>
    <w:p>
      <w:pPr>
        <w:ind w:right="20" w:firstLine="224"/>
        <w:spacing w:after="0" w:line="217" w:lineRule="auto"/>
        <w:tabs>
          <w:tab w:leader="none" w:pos="61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Normal Retirement Date</w:t>
      </w:r>
      <w:r>
        <w:rPr>
          <w:rFonts w:ascii="Times New Roman" w:cs="Times New Roman" w:eastAsia="Times New Roman" w:hAnsi="Times New Roman"/>
          <w:sz w:val="22"/>
          <w:szCs w:val="22"/>
          <w:color w:val="auto"/>
        </w:rPr>
        <w:t>. The term “Normal Retirement Date” shall mean the day on which a Participant who has attained age sixty-five (65), with five (5) years of Credited Service, retires. A Participant is eligible for normal retirement on the first day of the calendar month coincident with or immediately following the Participant’s attainment of age sixty-five (65) and completion of five (5) years of Credited Service, and “normal retirement” shall mean the retirement by an eligible Participant at the Normal Retirement Date.</w:t>
      </w:r>
    </w:p>
    <w:p>
      <w:pPr>
        <w:spacing w:after="0" w:line="179" w:lineRule="exact"/>
        <w:rPr>
          <w:rFonts w:ascii="Times New Roman" w:cs="Times New Roman" w:eastAsia="Times New Roman" w:hAnsi="Times New Roman"/>
          <w:sz w:val="22"/>
          <w:szCs w:val="22"/>
          <w:color w:val="auto"/>
        </w:rPr>
      </w:pPr>
    </w:p>
    <w:p>
      <w:pPr>
        <w:ind w:right="20" w:firstLine="224"/>
        <w:spacing w:after="0" w:line="220" w:lineRule="auto"/>
        <w:tabs>
          <w:tab w:leader="none" w:pos="58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Permanent Physical or Mental Disability</w:t>
      </w:r>
      <w:r>
        <w:rPr>
          <w:rFonts w:ascii="Times New Roman" w:cs="Times New Roman" w:eastAsia="Times New Roman" w:hAnsi="Times New Roman"/>
          <w:sz w:val="22"/>
          <w:szCs w:val="22"/>
          <w:color w:val="auto"/>
        </w:rPr>
        <w:t>. The term “Permanent Physical or Mental Disability” shall mean the Participant’s inability to perform his or her job or any position which the Participant can perform with his or her background and training by reason of any medically determinable physical or mental impairment which can be expected to result in death or to be of long, continued and indefinite duration.</w:t>
      </w:r>
    </w:p>
    <w:p>
      <w:pPr>
        <w:spacing w:after="0" w:line="179" w:lineRule="exact"/>
        <w:rPr>
          <w:rFonts w:ascii="Times New Roman" w:cs="Times New Roman" w:eastAsia="Times New Roman" w:hAnsi="Times New Roman"/>
          <w:sz w:val="22"/>
          <w:szCs w:val="22"/>
          <w:color w:val="auto"/>
        </w:rPr>
      </w:pPr>
    </w:p>
    <w:p>
      <w:pPr>
        <w:ind w:right="300" w:firstLine="224"/>
        <w:spacing w:after="0" w:line="236" w:lineRule="auto"/>
        <w:tabs>
          <w:tab w:leader="none" w:pos="64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Definitions</w:t>
      </w:r>
      <w:r>
        <w:rPr>
          <w:rFonts w:ascii="Times New Roman" w:cs="Times New Roman" w:eastAsia="Times New Roman" w:hAnsi="Times New Roman"/>
          <w:sz w:val="22"/>
          <w:szCs w:val="22"/>
          <w:color w:val="auto"/>
        </w:rPr>
        <w:t>. Except where the context clearly implies or indicates the contrary, a word, term, or phrase used in the Plan is similarly used in this Agreement.</w:t>
      </w:r>
    </w:p>
    <w:p>
      <w:pPr>
        <w:spacing w:after="0" w:line="177" w:lineRule="exact"/>
        <w:rPr>
          <w:rFonts w:ascii="Times New Roman" w:cs="Times New Roman" w:eastAsia="Times New Roman" w:hAnsi="Times New Roman"/>
          <w:sz w:val="22"/>
          <w:szCs w:val="22"/>
          <w:color w:val="auto"/>
        </w:rPr>
      </w:pPr>
    </w:p>
    <w:p>
      <w:pPr>
        <w:ind w:firstLine="8"/>
        <w:spacing w:after="0" w:line="217" w:lineRule="auto"/>
        <w:tabs>
          <w:tab w:leader="none" w:pos="37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Heirs and Successors</w:t>
      </w:r>
      <w:r>
        <w:rPr>
          <w:rFonts w:ascii="Times New Roman" w:cs="Times New Roman" w:eastAsia="Times New Roman" w:hAnsi="Times New Roman"/>
          <w:sz w:val="22"/>
          <w:szCs w:val="22"/>
          <w:color w:val="auto"/>
        </w:rPr>
        <w:t>. This Agreement shall be binding upon, and inure to the benefit of, the Company and its successors and assigns, including upon any person acquiring, whether by merger, consolidation, purchase of assets or otherwise, all or substantially all of the Company’s assets and business, and the Participant and the successors and permitted assigns of the Participant, including but not limited to, the estate of the Participant and the executor, administrator or trustee of such estate, and the guardian or legal representative of the Participant.</w:t>
      </w:r>
    </w:p>
    <w:p>
      <w:pPr>
        <w:spacing w:after="0" w:line="179" w:lineRule="exact"/>
        <w:rPr>
          <w:rFonts w:ascii="Times New Roman" w:cs="Times New Roman" w:eastAsia="Times New Roman" w:hAnsi="Times New Roman"/>
          <w:sz w:val="22"/>
          <w:szCs w:val="22"/>
          <w:color w:val="auto"/>
        </w:rPr>
      </w:pPr>
    </w:p>
    <w:p>
      <w:pPr>
        <w:jc w:val="both"/>
        <w:ind w:right="260" w:firstLine="8"/>
        <w:spacing w:after="0" w:line="220" w:lineRule="auto"/>
        <w:tabs>
          <w:tab w:leader="none" w:pos="37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authority to manage and control the operation and administration of this Agreement shall be vested in the Committee, and the Committee shall have all powers with respect to this Agreement as it has with respect to the Plan. Any interpretation of the Agreement by the Committee and any decision made by it with respect to the Agreement is final and binding.</w:t>
      </w:r>
    </w:p>
    <w:p>
      <w:pPr>
        <w:spacing w:after="0" w:line="179" w:lineRule="exact"/>
        <w:rPr>
          <w:rFonts w:ascii="Times New Roman" w:cs="Times New Roman" w:eastAsia="Times New Roman" w:hAnsi="Times New Roman"/>
          <w:sz w:val="22"/>
          <w:szCs w:val="22"/>
          <w:color w:val="auto"/>
        </w:rPr>
      </w:pPr>
    </w:p>
    <w:p>
      <w:pPr>
        <w:jc w:val="both"/>
        <w:ind w:right="200" w:firstLine="8"/>
        <w:spacing w:after="0" w:line="210" w:lineRule="auto"/>
        <w:tabs>
          <w:tab w:leader="none" w:pos="48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In the event of any inconsistency between the provisions of this Agreement and, if applicable, the terms of the Participant’s Employment Agreement, the provisions set forth in the Employment Agreement shall control, provided that to the extent the provisions of this Agreement or the Participant’s Employment Agreement are inconsistent with the terms of the Plan, then the terms of the Plan shall control.</w:t>
      </w:r>
    </w:p>
    <w:p>
      <w:pPr>
        <w:spacing w:after="0" w:line="2" w:lineRule="exact"/>
        <w:rPr>
          <w:rFonts w:ascii="Times New Roman" w:cs="Times New Roman" w:eastAsia="Times New Roman" w:hAnsi="Times New Roman"/>
          <w:sz w:val="22"/>
          <w:szCs w:val="22"/>
          <w:color w:val="auto"/>
        </w:rPr>
      </w:pPr>
    </w:p>
    <w:p>
      <w:pPr>
        <w:ind w:right="20" w:firstLine="8"/>
        <w:spacing w:after="0" w:line="214" w:lineRule="auto"/>
        <w:tabs>
          <w:tab w:leader="none" w:pos="47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Contract</w:t>
      </w:r>
      <w:r>
        <w:rPr>
          <w:rFonts w:ascii="Times New Roman" w:cs="Times New Roman" w:eastAsia="Times New Roman" w:hAnsi="Times New Roman"/>
          <w:sz w:val="22"/>
          <w:szCs w:val="22"/>
          <w:color w:val="auto"/>
        </w:rPr>
        <w:t>. The Participant acknowledges that this Agreement does not constitute a contract for employment for any period of time and does not modify the at will nature of the Participant’s employment with the Company, pursuant to which both the Company and the Participant may terminate the employment relationship at any time, for any or no reason, with or without notice.</w:t>
      </w:r>
    </w:p>
    <w:p>
      <w:pPr>
        <w:spacing w:after="0" w:line="180" w:lineRule="exact"/>
        <w:rPr>
          <w:rFonts w:ascii="Times New Roman" w:cs="Times New Roman" w:eastAsia="Times New Roman" w:hAnsi="Times New Roman"/>
          <w:sz w:val="22"/>
          <w:szCs w:val="22"/>
          <w:color w:val="auto"/>
        </w:rPr>
      </w:pPr>
    </w:p>
    <w:p>
      <w:pPr>
        <w:ind w:right="500" w:firstLine="8"/>
        <w:spacing w:after="0" w:line="236" w:lineRule="auto"/>
        <w:tabs>
          <w:tab w:leader="none" w:pos="48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by written Agreement of the Participant and the Company, without the consent of any other person.</w:t>
      </w:r>
    </w:p>
    <w:p>
      <w:pPr>
        <w:spacing w:after="0" w:line="177" w:lineRule="exact"/>
        <w:rPr>
          <w:rFonts w:ascii="Times New Roman" w:cs="Times New Roman" w:eastAsia="Times New Roman" w:hAnsi="Times New Roman"/>
          <w:sz w:val="22"/>
          <w:szCs w:val="22"/>
          <w:color w:val="auto"/>
        </w:rPr>
      </w:pPr>
    </w:p>
    <w:p>
      <w:pPr>
        <w:ind w:right="60" w:firstLine="8"/>
        <w:spacing w:after="0" w:line="225" w:lineRule="auto"/>
        <w:tabs>
          <w:tab w:leader="none" w:pos="48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any Appendix hereto, and the Plan contain the entire agreement and understanding of the parties hereto with respect of the award contained herein and therein and supersede all prior communications, representations and negotiations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395" w:right="359" w:bottom="1440" w:gutter="0" w:footer="0" w:header="0"/>
        </w:sectPr>
      </w:pPr>
    </w:p>
    <w:bookmarkStart w:id="84" w:name="page85"/>
    <w:bookmarkEnd w:id="84"/>
    <w:p>
      <w:pPr>
        <w:ind w:left="-8" w:right="60" w:firstLine="8"/>
        <w:spacing w:after="0" w:line="220" w:lineRule="auto"/>
        <w:tabs>
          <w:tab w:leader="none" w:pos="47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 and any court determining the unenforceability of any provisions shall have the power to reduce the scope or duration of such provision to render such provision enforceable.</w:t>
      </w:r>
    </w:p>
    <w:p>
      <w:pPr>
        <w:spacing w:after="0" w:line="179" w:lineRule="exact"/>
        <w:rPr>
          <w:rFonts w:ascii="Times New Roman" w:cs="Times New Roman" w:eastAsia="Times New Roman" w:hAnsi="Times New Roman"/>
          <w:sz w:val="22"/>
          <w:szCs w:val="22"/>
          <w:color w:val="auto"/>
        </w:rPr>
      </w:pPr>
    </w:p>
    <w:p>
      <w:pPr>
        <w:ind w:left="-8" w:firstLine="8"/>
        <w:spacing w:after="0" w:line="210" w:lineRule="auto"/>
        <w:tabs>
          <w:tab w:leader="none" w:pos="47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Non-U.S. Securities Law</w:t>
      </w:r>
      <w:r>
        <w:rPr>
          <w:rFonts w:ascii="Times New Roman" w:cs="Times New Roman" w:eastAsia="Times New Roman" w:hAnsi="Times New Roman"/>
          <w:sz w:val="22"/>
          <w:szCs w:val="22"/>
          <w:color w:val="auto"/>
        </w:rPr>
        <w:t>. Notwithstanding any other terms and conditions of the Plan or this Agreement, unless there is an available exemption from any registration, qualification or other legal requirement applicable to the issuance of this Award or and any Stock Units or shares of Common Stock the Participant may become entitled to under this Award in the future, the Company shall not be required to deliver any such securities prior to the completion of any registration or qualification of any such securities under any non-U.S. securities, exchange control or other law, or under the rulings or regulations of any governmental regulatory body, or prior to obtaining any approval or other clearance from any governmental agency, which registration, qualification or approval the Company shall, in its absolute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 such securities. Further, the Participant agrees that his or her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12"/>
          </w:cols>
          <w:pgMar w:left="328" w:top="1395" w:right="359" w:bottom="1440" w:gutter="0" w:footer="0" w:header="0"/>
        </w:sectPr>
      </w:pPr>
    </w:p>
    <w:bookmarkStart w:id="85" w:name="page86"/>
    <w:bookmarkEnd w:id="85"/>
    <w:p>
      <w:pPr>
        <w:spacing w:after="0" w:line="220" w:lineRule="auto"/>
        <w:rPr>
          <w:sz w:val="20"/>
          <w:szCs w:val="20"/>
          <w:color w:val="auto"/>
        </w:rPr>
      </w:pPr>
      <w:r>
        <w:rPr>
          <w:rFonts w:ascii="Times New Roman" w:cs="Times New Roman" w:eastAsia="Times New Roman" w:hAnsi="Times New Roman"/>
          <w:sz w:val="22"/>
          <w:szCs w:val="22"/>
          <w:color w:val="auto"/>
        </w:rPr>
        <w:t>IN WITNESS WHEREOF, the Participant has executed this Agreement, and the Company has caused these presents to be executed in its name and on its behalf, all effective as of the Grant Date. By accepting the terms of the award represented by this Agreement through an electronic form offered by the Company, or the Company’s designee, the Participant hereby agrees to the terms of this Agreement with the same effect as if the Participant had signed this Agreement.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HASBRO,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4554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1455420" cy="8890"/>
                    </a:xfrm>
                    <a:prstGeom prst="rect">
                      <a:avLst/>
                    </a:prstGeom>
                    <a:noFill/>
                  </pic:spPr>
                </pic:pic>
              </a:graphicData>
            </a:graphic>
          </wp:anchor>
        </w:drawing>
      </w:r>
    </w:p>
    <w:p>
      <w:pPr>
        <w:spacing w:after="0" w:line="214" w:lineRule="auto"/>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Deborah Thomas</w:t>
      </w:r>
    </w:p>
    <w:p>
      <w:pPr>
        <w:spacing w:after="0" w:line="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and Chief Financial Officer</w:t>
      </w:r>
    </w:p>
    <w:p>
      <w:pPr>
        <w:spacing w:after="0" w:line="200" w:lineRule="exact"/>
        <w:rPr>
          <w:sz w:val="20"/>
          <w:szCs w:val="20"/>
          <w:color w:val="auto"/>
        </w:rPr>
      </w:pPr>
    </w:p>
    <w:p>
      <w:pPr>
        <w:spacing w:after="0" w:line="35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454660</wp:posOffset>
            </wp:positionV>
            <wp:extent cx="2425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1395" w:right="47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color w:val="auto"/>
        </w:rPr>
        <w:t>Exhibit 10.5</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HASBRO,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2003 STOCK INCENTIVE PERFORMANCE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CONTINGENT STOCK PERFORMANCE AWARD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(THREE PERFORMANCE METRICS WITH NON-COMPETE)</w:t>
      </w:r>
    </w:p>
    <w:p>
      <w:pPr>
        <w:spacing w:after="0" w:line="1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_______________, 2022 GRANT</w:t>
      </w:r>
    </w:p>
    <w:p>
      <w:pPr>
        <w:spacing w:after="0" w:line="3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AGREEMENT, made effective as of ____________, 2022, by and between HASBRO, INC., a Rhode Island corporation (the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the designated contingent stock performance award recipient (the "Participant").</w:t>
      </w:r>
    </w:p>
    <w:p>
      <w:pPr>
        <w:spacing w:after="0" w:line="125" w:lineRule="exact"/>
        <w:rPr>
          <w:sz w:val="20"/>
          <w:szCs w:val="20"/>
          <w:color w:val="auto"/>
        </w:rPr>
      </w:pPr>
    </w:p>
    <w:p>
      <w:pPr>
        <w:jc w:val="both"/>
        <w:ind w:firstLine="290"/>
        <w:spacing w:after="0" w:line="352" w:lineRule="auto"/>
        <w:rPr>
          <w:sz w:val="20"/>
          <w:szCs w:val="20"/>
          <w:color w:val="auto"/>
        </w:rPr>
      </w:pPr>
      <w:r>
        <w:rPr>
          <w:rFonts w:ascii="Times New Roman" w:cs="Times New Roman" w:eastAsia="Times New Roman" w:hAnsi="Times New Roman"/>
          <w:sz w:val="22"/>
          <w:szCs w:val="22"/>
          <w:color w:val="auto"/>
        </w:rPr>
        <w:t>WHEREAS, the Participant is eligible to participate in the Company's Restated 2003 Stock Incentive Performance Plan, as amended (the "Plan"), and</w:t>
      </w:r>
    </w:p>
    <w:p>
      <w:pPr>
        <w:jc w:val="both"/>
        <w:ind w:firstLine="377"/>
        <w:spacing w:after="0" w:line="375" w:lineRule="auto"/>
        <w:rPr>
          <w:sz w:val="20"/>
          <w:szCs w:val="20"/>
          <w:color w:val="auto"/>
        </w:rPr>
      </w:pPr>
      <w:r>
        <w:rPr>
          <w:rFonts w:ascii="Times New Roman" w:cs="Times New Roman" w:eastAsia="Times New Roman" w:hAnsi="Times New Roman"/>
          <w:sz w:val="21"/>
          <w:szCs w:val="21"/>
          <w:color w:val="auto"/>
        </w:rPr>
        <w:t>WHEREAS, contingent upon and in consideration for the Participant having executed and delivered to the Company’s designated contact no later than __________, 2022 a Non-Competition, Non-Solicitation and Confidentiality Agreement between</w:t>
      </w:r>
    </w:p>
    <w:p>
      <w:pPr>
        <w:spacing w:after="0" w:line="1"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1"/>
          <w:szCs w:val="21"/>
          <w:color w:val="auto"/>
        </w:rPr>
        <w:t>the Participant and the Company in the form provided to the Participant by the Company (or otherwise confirming the terms of the Participant’s existing Non-Compete Agreement), the Compensation Committee (the "Committee") of the Board of Directors of the Company (the "Board"), acting in accordance with the provisions of the Plan, is granting to Participant a contingent stock performance award dated __________, 2022 designed to reward the Participant for the Participant’s efforts in contributing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achievement of certain stated financial goals, and</w:t>
      </w:r>
    </w:p>
    <w:p>
      <w:pPr>
        <w:spacing w:after="0" w:line="125" w:lineRule="exact"/>
        <w:rPr>
          <w:sz w:val="20"/>
          <w:szCs w:val="20"/>
          <w:color w:val="auto"/>
        </w:rPr>
      </w:pPr>
    </w:p>
    <w:p>
      <w:pPr>
        <w:jc w:val="both"/>
        <w:ind w:firstLine="261"/>
        <w:spacing w:after="0" w:line="357" w:lineRule="auto"/>
        <w:rPr>
          <w:sz w:val="20"/>
          <w:szCs w:val="20"/>
          <w:color w:val="auto"/>
        </w:rPr>
      </w:pPr>
      <w:r>
        <w:rPr>
          <w:rFonts w:ascii="Times New Roman" w:cs="Times New Roman" w:eastAsia="Times New Roman" w:hAnsi="Times New Roman"/>
          <w:sz w:val="22"/>
          <w:szCs w:val="22"/>
          <w:color w:val="auto"/>
        </w:rPr>
        <w:t>WHEREAS, the stock performance award provides the Participant with the ability to earn shares of the Company’s common stock, par value $.50 per share (the "Common Stock"), contingent on the Company’s performance in achieving pre-established cumulative diluted earnings per share (“EPS”), cumulative net revenue (“Revenues”) and average return on invested capital (“ROIC”) performance targets over the period beginning on December 27, 2021 and ending on December 29, 2024 (the “Performance Period”), subject to and upon the terms and conditions set forth in the Plan and as hereinafter set forth. For purposes of this Agreement average ROIC shall be computed as Net Income plus after tax interest expense divided by the sum of net debt (calculated by subtracting the Company’s total cash and cash equivalents from its total short-term and long-term debt) plus Shareholder’s Equity, averaged over the three fiscal years in the Performance Period.</w:t>
      </w:r>
    </w:p>
    <w:p>
      <w:pPr>
        <w:jc w:val="both"/>
        <w:ind w:firstLine="224"/>
        <w:spacing w:after="0" w:line="386" w:lineRule="auto"/>
        <w:rPr>
          <w:sz w:val="20"/>
          <w:szCs w:val="20"/>
          <w:color w:val="auto"/>
        </w:rPr>
      </w:pPr>
      <w:r>
        <w:rPr>
          <w:rFonts w:ascii="Times New Roman" w:cs="Times New Roman" w:eastAsia="Times New Roman" w:hAnsi="Times New Roman"/>
          <w:sz w:val="22"/>
          <w:szCs w:val="22"/>
          <w:color w:val="auto"/>
        </w:rPr>
        <w:t>NOW, THEREFORE, in consideration of these premises and other good and valuable consideration, the parties hereto agree as follows:</w:t>
      </w:r>
    </w:p>
    <w:p>
      <w:pPr>
        <w:sectPr>
          <w:pgSz w:w="11900" w:h="16838" w:orient="portrait"/>
          <w:cols w:equalWidth="0" w:num="1">
            <w:col w:w="11240"/>
          </w:cols>
          <w:pgMar w:left="320" w:top="346"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jc w:val="both"/>
        <w:ind w:left="-140" w:firstLine="292"/>
        <w:spacing w:after="0" w:line="356" w:lineRule="auto"/>
        <w:tabs>
          <w:tab w:leader="none" w:pos="59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Contingent upon and in consideration for the Participant having executed and delivered to the Company’s designated contact no later than __________, 2022 a Non-Competition, Non-Solicitation and Confidentiality Agreement (the “Non-Compete Agreement”) between the Participant and the Company in the form provided to the Participant by the Company (or otherwise confirming the terms of the Participant’s existing Non-Compete Agreement), the Company hereby grants to the Participant effective on ____________, 2022, and pursuant to the Plan, a copy of which is attached hereto as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and the provisions of which are incorporated herein as if set forth in full, a contingent stock performance award (the “Award”) subject to and upon the terms and conditions set forth in the Plan and in the Non-Compete Agreement and the additional terms and conditions hereinafter set forth. The Award is evidenced by this Agreement. For the avoidance of doubt, if the Participant has not executed and delivered to the Company’s designated contact the Non-Compete Agreement (or otherwise confirming the terms of the Participant’s existing Non-Compete Agreement) on or before __________, 2022, the Award represented by this Agreement will never take effect and will be null and void.</w:t>
      </w:r>
    </w:p>
    <w:p>
      <w:pPr>
        <w:spacing w:after="0" w:line="3" w:lineRule="exact"/>
        <w:rPr>
          <w:rFonts w:ascii="Times New Roman" w:cs="Times New Roman" w:eastAsia="Times New Roman" w:hAnsi="Times New Roman"/>
          <w:sz w:val="22"/>
          <w:szCs w:val="22"/>
          <w:color w:val="auto"/>
        </w:rPr>
      </w:pPr>
    </w:p>
    <w:p>
      <w:pPr>
        <w:jc w:val="both"/>
        <w:ind w:left="-140" w:right="20" w:firstLine="362"/>
        <w:spacing w:after="0" w:line="358" w:lineRule="auto"/>
        <w:tabs>
          <w:tab w:leader="none" w:pos="73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Award the Participant hereby acknowledges and agrees that (i) this Award, and any shares the Participant may acquire under this Award in the future or any of the proceeds of selling any shares acquired pursuant to this Award, as well as any other incentive compensation the Participant is granted after, is subject to the Company’s Clawback Policy, which was adopted by the Company’s Board of Directors in October 2012, as it may be amended from time to time by the Board in the future, and (ii) the Participant is subject to and bound by the terms of the Non-Compete Agreement. Such acknowledgement and agreement was a material condition to receiving this Award, which would not have been granted to the Participant otherwise. Additionally, the Participant acknowledges and agrees that if the Participant is or becomes subject to the Hasbro, Inc. Executive Stock Ownership Policy, effective as of March 1, 2014, as it may be amended from time to time by the Board in the future (the “Stock Ownership Policy”), then by accepting this Award and any shares that the Participant may acquire in the future pursuant to this Award, as well as any other equity-based incentive compensation the Participant is granted after the Participant becomes subject to the Stock Ownership Policy, the Participant agrees that the Participant will be subject to the terms of the Stock Ownership Policy, including without limitation the requirement to retain an amount equal to at least 50% of the net shares received as a result of the exercise, vesting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1071"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payment of any equity awards granted until the Participant’s applicable requirement levels are met.</w:t>
      </w:r>
    </w:p>
    <w:p>
      <w:pPr>
        <w:spacing w:after="0" w:line="125" w:lineRule="exact"/>
        <w:rPr>
          <w:sz w:val="20"/>
          <w:szCs w:val="20"/>
          <w:color w:val="auto"/>
        </w:rPr>
      </w:pPr>
    </w:p>
    <w:p>
      <w:pPr>
        <w:jc w:val="both"/>
        <w:ind w:firstLine="253"/>
        <w:spacing w:after="0" w:line="372" w:lineRule="auto"/>
        <w:tabs>
          <w:tab w:leader="none" w:pos="64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relates to an Award providing the Participant with the potential ability to earn shares of the Company’s common stock, par value $.50 per share (the "Common Stock"), together with dividends, contingent on the Company’s performance in achieving its pre-established cumulative EPS and Revenues and average ROIC targets over the Performance Period. The cumulative EPS, cumulative Revenues and ROIC targets for the Performance Period are set forth below:</w:t>
      </w:r>
    </w:p>
    <w:p>
      <w:pPr>
        <w:spacing w:after="0" w:line="1" w:lineRule="exact"/>
        <w:rPr>
          <w:rFonts w:ascii="Times New Roman" w:cs="Times New Roman" w:eastAsia="Times New Roman" w:hAnsi="Times New Roman"/>
          <w:sz w:val="21"/>
          <w:szCs w:val="21"/>
          <w:color w:val="auto"/>
        </w:rPr>
      </w:pPr>
    </w:p>
    <w:p>
      <w:pPr>
        <w:ind w:left="2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EPS</w:t>
      </w:r>
      <w:r>
        <w:rPr>
          <w:rFonts w:ascii="Times New Roman" w:cs="Times New Roman" w:eastAsia="Times New Roman" w:hAnsi="Times New Roman"/>
          <w:sz w:val="21"/>
          <w:szCs w:val="21"/>
          <w:color w:val="auto"/>
        </w:rPr>
        <w:t>$_____</w:t>
      </w:r>
    </w:p>
    <w:p>
      <w:pPr>
        <w:spacing w:after="0" w:line="125" w:lineRule="exact"/>
        <w:rPr>
          <w:rFonts w:ascii="Times New Roman" w:cs="Times New Roman" w:eastAsia="Times New Roman" w:hAnsi="Times New Roman"/>
          <w:sz w:val="21"/>
          <w:szCs w:val="21"/>
          <w:color w:val="auto"/>
        </w:rPr>
      </w:pPr>
    </w:p>
    <w:p>
      <w:pPr>
        <w:ind w:left="2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Revenues</w:t>
      </w:r>
      <w:r>
        <w:rPr>
          <w:rFonts w:ascii="Times New Roman" w:cs="Times New Roman" w:eastAsia="Times New Roman" w:hAnsi="Times New Roman"/>
          <w:sz w:val="21"/>
          <w:szCs w:val="21"/>
          <w:color w:val="auto"/>
        </w:rPr>
        <w:t>$_____</w:t>
      </w:r>
    </w:p>
    <w:p>
      <w:pPr>
        <w:spacing w:after="0" w:line="125" w:lineRule="exact"/>
        <w:rPr>
          <w:sz w:val="20"/>
          <w:szCs w:val="20"/>
          <w:color w:val="auto"/>
        </w:rPr>
      </w:pPr>
    </w:p>
    <w:p>
      <w:pPr>
        <w:ind w:left="220"/>
        <w:spacing w:after="0"/>
        <w:tabs>
          <w:tab w:leader="none" w:pos="1900" w:val="left"/>
        </w:tabs>
        <w:rPr>
          <w:sz w:val="20"/>
          <w:szCs w:val="20"/>
          <w:color w:val="auto"/>
        </w:rPr>
      </w:pPr>
      <w:r>
        <w:rPr>
          <w:rFonts w:ascii="Times New Roman" w:cs="Times New Roman" w:eastAsia="Times New Roman" w:hAnsi="Times New Roman"/>
          <w:sz w:val="22"/>
          <w:szCs w:val="22"/>
          <w:color w:val="auto"/>
        </w:rPr>
        <w:t>Average ROIC</w:t>
      </w:r>
      <w:r>
        <w:rPr>
          <w:sz w:val="20"/>
          <w:szCs w:val="20"/>
          <w:color w:val="auto"/>
        </w:rPr>
        <w:tab/>
      </w:r>
      <w:r>
        <w:rPr>
          <w:rFonts w:ascii="Times New Roman" w:cs="Times New Roman" w:eastAsia="Times New Roman" w:hAnsi="Times New Roman"/>
          <w:sz w:val="22"/>
          <w:szCs w:val="22"/>
          <w:color w:val="auto"/>
        </w:rPr>
        <w:t>______</w:t>
      </w:r>
    </w:p>
    <w:p>
      <w:pPr>
        <w:spacing w:after="0" w:line="125"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1"/>
          <w:szCs w:val="21"/>
          <w:color w:val="auto"/>
        </w:rPr>
        <w:t xml:space="preserve">The threshold and maximum levels for cumulative EPS and Revenues and average ROIC contributing to shares being earned under this Award are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this Agreement. Except as is otherwise set forth in this Agreement, the Participant shall not have any ability to receive any shares of Common Stock or payment of dividends pursuant to this Award until the Performance Period is completed. Following the end of the Performance Period, the Committee will determine the Company’s cumulative EPS and Revenues and average ROIC over the Performance Period. The Committee will certify the Company’s cumulative EPS, Revenues and average ROIC over the Performance Period as promptly as is reasonably possible following the completion of the Performance Period, but in no event later than 75 days following the completion of the Performance Period.</w:t>
      </w:r>
    </w:p>
    <w:p>
      <w:pPr>
        <w:spacing w:after="0" w:line="6" w:lineRule="exact"/>
        <w:rPr>
          <w:sz w:val="20"/>
          <w:szCs w:val="20"/>
          <w:color w:val="auto"/>
        </w:rPr>
      </w:pPr>
    </w:p>
    <w:p>
      <w:pPr>
        <w:jc w:val="both"/>
        <w:ind w:right="20" w:firstLine="269"/>
        <w:spacing w:after="0" w:line="358" w:lineRule="auto"/>
        <w:tabs>
          <w:tab w:leader="none" w:pos="73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Award, the Company’s EPS, Revenues and average ROIC over the Performance Period will be computed on a consolidated basis in the same manner used by the Company in computing its consolidated financial performance under generally accepted accounting principles (“GAAP”), except for the deviations from GAAP which are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this Agreement. Further, EPS and Revenues will be calculated based on actual results translated at exchange rates established at the beginning of the Performance Period.</w:t>
      </w:r>
    </w:p>
    <w:p>
      <w:pPr>
        <w:spacing w:after="0" w:line="3" w:lineRule="exact"/>
        <w:rPr>
          <w:rFonts w:ascii="Times New Roman" w:cs="Times New Roman" w:eastAsia="Times New Roman" w:hAnsi="Times New Roman"/>
          <w:sz w:val="22"/>
          <w:szCs w:val="22"/>
          <w:color w:val="auto"/>
        </w:rPr>
      </w:pPr>
    </w:p>
    <w:p>
      <w:pPr>
        <w:jc w:val="both"/>
        <w:ind w:right="20" w:firstLine="378"/>
        <w:spacing w:after="0" w:line="362" w:lineRule="auto"/>
        <w:tabs>
          <w:tab w:leader="none" w:pos="89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target number of shares of Common Stock which may be issuable under this Award in the event of 100% achievement of the pre-established cumulative EPS and Revenue and average ROIC measures over the Performance Period is the specified number of shares communicated by separate communication to the Participant (the “Target Shares”). The tables appearing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set forth the contingent number of shares of Common Stock which the Participant may actually earn under this Award, as a percentage of</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828" w:right="459" w:bottom="1440" w:gutter="0" w:footer="0" w:header="0"/>
        </w:sectPr>
      </w:pPr>
    </w:p>
    <w:bookmarkStart w:id="89" w:name="page90"/>
    <w:bookmarkEnd w:id="89"/>
    <w:p>
      <w:pPr>
        <w:jc w:val="both"/>
        <w:spacing w:after="0" w:line="356" w:lineRule="auto"/>
        <w:rPr>
          <w:sz w:val="20"/>
          <w:szCs w:val="20"/>
          <w:color w:val="auto"/>
        </w:rPr>
      </w:pPr>
      <w:r>
        <w:rPr>
          <w:rFonts w:ascii="Times New Roman" w:cs="Times New Roman" w:eastAsia="Times New Roman" w:hAnsi="Times New Roman"/>
          <w:sz w:val="22"/>
          <w:szCs w:val="22"/>
          <w:color w:val="auto"/>
        </w:rPr>
        <w:t>the Target Shares, based upon certain performances by the Company in achieving the EPS, Revenues and average ROIC targets. On the date that the Company pays a cash dividend to holders of Common Stock, unless otherwise determined by the Committee in its sole discretion, the Company shall credit each Target Share with a dividend equivalent unit (“DEU”). DEUs will be calculated at the same dividend rate paid to other holders of shares of Common Stock and will equal the total number of Target Shares multiplied by the dollar amount of the cash dividend paid per share of Common Stock by the Company on such date divided by the Fair Market Value (as defined in the Plan) of a share of Common Stock on such date. DEUs will be credited in whole shares only and any residual amount that cannot be converted to a whole share shall be aggregated with the immediately following dividend and used to calculate the DEUs attributable to such dividend, as described above. DEUs shall be subject to the same terms and conditions as the underlying Target Shares and will vest in accordance with the vesting schedule applicable to the shares subject to this Award. The Participant shall not be entitled to any voting rights with respect to the DEUs prior to vesting.</w:t>
      </w:r>
    </w:p>
    <w:p>
      <w:pPr>
        <w:spacing w:after="0" w:line="3" w:lineRule="exact"/>
        <w:rPr>
          <w:sz w:val="20"/>
          <w:szCs w:val="20"/>
          <w:color w:val="auto"/>
        </w:rPr>
      </w:pPr>
    </w:p>
    <w:p>
      <w:pPr>
        <w:jc w:val="both"/>
        <w:ind w:firstLine="275"/>
        <w:spacing w:after="0" w:line="372" w:lineRule="auto"/>
        <w:rPr>
          <w:sz w:val="20"/>
          <w:szCs w:val="20"/>
          <w:color w:val="auto"/>
        </w:rPr>
      </w:pPr>
      <w:r>
        <w:rPr>
          <w:rFonts w:ascii="Times New Roman" w:cs="Times New Roman" w:eastAsia="Times New Roman" w:hAnsi="Times New Roman"/>
          <w:sz w:val="21"/>
          <w:szCs w:val="21"/>
          <w:color w:val="auto"/>
        </w:rPr>
        <w:t xml:space="preserve">To compute the actual number of shares of Common Stock, if any, which may be earned by the Participant, the respective cumulative EPS and Revenues and average ROIC performances of the Company, as certified by the Committee following completion of the Performance Period, are applied to the tables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Company’s achievement against its EPS metric is weighted at 34% in determining the final shares earned by the Participant. The Company’s achievement against its Revenues metric is weighted at 33%, and the Company’s achievement against its average ROIC metric is also weighted at 33%.</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By way of illustration, if the Company’s cumulative Revenues over the Performance Period are $_____, the percentage of the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Revenues target achieved is ____% and the percentage of the target number of contingent shares earned due to that performance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 ____%. If the Company’s cumulative EPS over the Performance Period is $_____, the percentage of the EPS target achieved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 _____%, and the percentage of the target number of contingent shares earned due to that EPS performance is _____%. If the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average ROIC over the Performance Period is _____%, the percentage of the average ROIC target achieved is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 and the percentage of the target number of contingent shares earned due to that ROIC performance is _____%. In that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case, the Participant would earn (.33*____%) + (.34*____%) + (.33*____%), or ____% of the Target Shares of Common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the Award. If the number of Target Shares of Common Stock subject to the Award was ____ shares, the Participant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would</w:t>
      </w:r>
    </w:p>
    <w:p>
      <w:pPr>
        <w:spacing w:after="0" w:line="2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828"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earn ____ shares of Common Stock. If the number of shares earned is not a whole number, the Participant will earn the next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highest whole number of shares.</w:t>
      </w:r>
    </w:p>
    <w:p>
      <w:pPr>
        <w:spacing w:after="0" w:line="125" w:lineRule="exact"/>
        <w:rPr>
          <w:sz w:val="20"/>
          <w:szCs w:val="20"/>
          <w:color w:val="auto"/>
        </w:rPr>
      </w:pPr>
    </w:p>
    <w:p>
      <w:pPr>
        <w:jc w:val="both"/>
        <w:ind w:firstLine="364"/>
        <w:spacing w:after="0" w:line="352" w:lineRule="auto"/>
        <w:tabs>
          <w:tab w:leader="none" w:pos="607"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Once the Company has determined the number of shares of Common Stock, if any, which have been earned by the Participant based on the cumulative EPS and Revenues and average ROIC performance of the Company, the Company or its</w:t>
      </w:r>
    </w:p>
    <w:p>
      <w:pPr>
        <w:jc w:val="both"/>
        <w:spacing w:after="0" w:line="32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designee will as promptly as possible thereafter, but in all events not later than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month following the end of the calendar year in which the Performance Period ends, issue any such shares of Common Stock which have been deemed earned to the Participant.</w:t>
      </w:r>
    </w:p>
    <w:p>
      <w:pPr>
        <w:spacing w:after="0" w:line="5" w:lineRule="exact"/>
        <w:rPr>
          <w:rFonts w:ascii="Times New Roman" w:cs="Times New Roman" w:eastAsia="Times New Roman" w:hAnsi="Times New Roman"/>
          <w:sz w:val="22"/>
          <w:szCs w:val="22"/>
          <w:color w:val="auto"/>
        </w:rPr>
      </w:pPr>
    </w:p>
    <w:p>
      <w:pPr>
        <w:jc w:val="both"/>
        <w:ind w:firstLine="300"/>
        <w:spacing w:after="0" w:line="358" w:lineRule="auto"/>
        <w:tabs>
          <w:tab w:leader="none" w:pos="52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consult with the Company or its designee in advance of the issuance of any shares pursuant to this Award so as to designate the manner in which the Participant wishes to pay any withholding taxes due, and any such Participant’s designation must be made by the Participant affirmatively to the Company, in the manner specified by the Company, and on or before the date selected by the Company. Each Participant who elects to pay withholding taxes in cash shall deliver to the Company or its designee, a check payable to Hasbro, Inc. or its designee, or a wire transfer to such account of the Company or its designee, as the Company may designate, in United States dollars, in the amount of any withholding required by law for any and all federal, state, local or foreign taxes payable as a result of the Participant earning any shares under this Award or being issued any shares pursuant to the provisions below based on certain other events. Alternatively, a Participant may elect to satisfy the minimum withholding taxes required by law payable as a result of the issuance of any shares pursuant to this Award (the "Taxes"), in whole or in part, either (i) by having the Company withhold from the shares of Common Stock to be issued pursuant to this Award or (ii) delivering to the Company or its designee shares of Common Stock already owned by the Participant and held by the Participant for at least six (6) months (represented by stock certificates duly endorsed to the Company or its designee or accompanied by an executed stock power in each case with signatures guaranteed by a bank or broker to the extent required by the Company or its designee), in each case in an amount whose Fair Market Value on the date the Participant has become entitled to such shares pursuant to this Award is either equal to the Taxes or less than the Taxes, provided that a check payable to Hasbro, Inc. or its designee, or a wire transfer to such account of the Company or its designee as the Company may designate, in United States dollars for the balance of the Taxes is also delivered to the Company, or its designee, at the time of issuance. If the Participant fails to timely elect to pay the withholding taxes in some other manner pursuant to the preceding provisions, or otherwise does not timely remit payment of the required withholding taxes, then the Participant’s tax withholding requirements will be satisfied through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28" w:right="339" w:bottom="1440" w:gutter="0" w:footer="0" w:header="0"/>
        </w:sectPr>
      </w:pPr>
    </w:p>
    <w:bookmarkStart w:id="91" w:name="page92"/>
    <w:bookmarkEnd w:id="91"/>
    <w:p>
      <w:pPr>
        <w:jc w:val="both"/>
        <w:spacing w:after="0" w:line="356" w:lineRule="auto"/>
        <w:rPr>
          <w:sz w:val="20"/>
          <w:szCs w:val="20"/>
          <w:color w:val="auto"/>
        </w:rPr>
      </w:pPr>
      <w:r>
        <w:rPr>
          <w:rFonts w:ascii="Times New Roman" w:cs="Times New Roman" w:eastAsia="Times New Roman" w:hAnsi="Times New Roman"/>
          <w:sz w:val="22"/>
          <w:szCs w:val="22"/>
          <w:color w:val="auto"/>
        </w:rPr>
        <w:t>withholding of shares of Common Stock and to the extent a fractional share needs to be withheld, the Company or its designee will withhold the next highest number of full shares and will remit the value of the fraction of a share which exceeds the required withholding to the Participant. As soon as practicable after receipt of the withholding taxes and any other materials or information reasonably required by the Company or its designee, the Company or its designee shall deliver or cause to be delivered to the Participant, using the method of delivery determined by the Company or its designee, the shares payable pursuant to the Award (less any shares deducted to pay Taxes).</w:t>
      </w:r>
    </w:p>
    <w:p>
      <w:pPr>
        <w:spacing w:after="0" w:line="3" w:lineRule="exact"/>
        <w:rPr>
          <w:sz w:val="20"/>
          <w:szCs w:val="20"/>
          <w:color w:val="auto"/>
        </w:rPr>
      </w:pPr>
    </w:p>
    <w:p>
      <w:pPr>
        <w:jc w:val="both"/>
        <w:ind w:firstLine="270"/>
        <w:spacing w:after="0" w:line="372" w:lineRule="auto"/>
        <w:tabs>
          <w:tab w:leader="none" w:pos="687"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such time, if any, that actual shares of Common Stock become due and are issued to the Participant in accordance with the terms of this Agreement, the Participant will not receive any dividends and will not have any voting rights with respect to any shares which may be issuable in the future pursuant to this Award. The Participant’s rights under this Award shall be no greater than those of an unsecured general creditor of the Company, and nothing herein shall be construed as requiring the Company or any other person to establish a trust or to set aside assets to meet the Company’s obligations hereunder.</w:t>
      </w:r>
    </w:p>
    <w:p>
      <w:pPr>
        <w:spacing w:after="0" w:line="5" w:lineRule="exact"/>
        <w:rPr>
          <w:rFonts w:ascii="Times New Roman" w:cs="Times New Roman" w:eastAsia="Times New Roman" w:hAnsi="Times New Roman"/>
          <w:sz w:val="21"/>
          <w:szCs w:val="21"/>
          <w:color w:val="auto"/>
        </w:rPr>
      </w:pPr>
    </w:p>
    <w:p>
      <w:pPr>
        <w:jc w:val="both"/>
        <w:ind w:firstLine="224"/>
        <w:spacing w:after="0" w:line="356" w:lineRule="auto"/>
        <w:tabs>
          <w:tab w:leader="none" w:pos="59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If a Participant who is an employee of the Company or of a direct or indirect subsidiary of the Company dies before the Performance Period is completed, then the Company will issue the number of shares of Common Stock to the executor, administrator or trustee of the Participant’s estate, or the Participant’s legal representative, as the case may be, that is computed by multiplying: (i) the number of shares of Common Stock which would have been issuable to the Participant pursuant to the Award assuming completion of the Performance Period and the Company’s achievement over the Performance Period of cumulative EPS and Revenues and average ROIC equal to target in each case by (ii) a fraction, the numerator of which is the number of days from the start of the Performance Period to the date that the Participant died and the denominator of which is the total number of days in the Performance Period. This pro-rated target award will be payable as soon following the Participant’s death as is reasonably practicable. If a Participant dies after the end of the Performance Period, but prior to the delivery of any shares of Common Stock issuable pursuant to this award, then the Company or its designee will issue to the Participant’s estate, or the Participant’s legal representative, as the case may be, the number of shares of Common Stock, if any, which would have otherwise been issuable to the Participant if the Participant had not died.</w:t>
      </w:r>
    </w:p>
    <w:p>
      <w:pPr>
        <w:spacing w:after="0" w:line="5" w:lineRule="exact"/>
        <w:rPr>
          <w:rFonts w:ascii="Times New Roman" w:cs="Times New Roman" w:eastAsia="Times New Roman" w:hAnsi="Times New Roman"/>
          <w:sz w:val="22"/>
          <w:szCs w:val="22"/>
          <w:color w:val="auto"/>
        </w:rPr>
      </w:pPr>
    </w:p>
    <w:p>
      <w:pPr>
        <w:jc w:val="both"/>
        <w:ind w:firstLine="644"/>
        <w:spacing w:after="0" w:line="372" w:lineRule="auto"/>
        <w:tabs>
          <w:tab w:leader="none" w:pos="967"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with at least one year of Credited Service of the Company suffers a permanent physical or mental disability (as defined below), before the Performance Period is completed, then the Participant’s Award will remain outstanding during the remaining</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28" w:right="339" w:bottom="1440" w:gutter="0" w:footer="0" w:header="0"/>
        </w:sectPr>
      </w:pPr>
    </w:p>
    <w:bookmarkStart w:id="92" w:name="page93"/>
    <w:bookmarkEnd w:id="92"/>
    <w:p>
      <w:pPr>
        <w:jc w:val="both"/>
        <w:spacing w:after="0" w:line="356" w:lineRule="auto"/>
        <w:rPr>
          <w:sz w:val="20"/>
          <w:szCs w:val="20"/>
          <w:color w:val="auto"/>
        </w:rPr>
      </w:pPr>
      <w:r>
        <w:rPr>
          <w:rFonts w:ascii="Times New Roman" w:cs="Times New Roman" w:eastAsia="Times New Roman" w:hAnsi="Times New Roman"/>
          <w:sz w:val="22"/>
          <w:szCs w:val="22"/>
          <w:color w:val="auto"/>
        </w:rPr>
        <w:t>portion of the Performance Period. At the end of the Performance Period the Committee will compute how many, if any, shares of Common Stock would be issuable pursuant to the Award based on the Company’s performance against its cumulative EPS and Revenues and average ROIC targets. That actual number of shares of Common Stock which would have been earned under the Award over the entire Performance Period will then be multiplied by a fraction the numerator of which is the number of days from the start of the Performance Period to the date that the Participant became disabled and the denominator of which is the total number of days in the Performance Period. This pro-rated number of shares will then be issuable to the Participant in the same manner as shares are issued to other Participants.</w:t>
      </w:r>
    </w:p>
    <w:p>
      <w:pPr>
        <w:spacing w:after="0" w:line="6" w:lineRule="exact"/>
        <w:rPr>
          <w:sz w:val="20"/>
          <w:szCs w:val="20"/>
          <w:color w:val="auto"/>
        </w:rPr>
      </w:pPr>
    </w:p>
    <w:p>
      <w:pPr>
        <w:jc w:val="both"/>
        <w:ind w:firstLine="476"/>
        <w:spacing w:after="0" w:line="372" w:lineRule="auto"/>
        <w:tabs>
          <w:tab w:leader="none" w:pos="766"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Participant who is an employee of the Company or of a direct or indirect subsidiary of the Company retires at either an Early Retirement Date or a Normal Retirement Date (each as defined below), before the Performance Period is completed, then the Participant’s Award will remain outstanding during the remaining portion of the Performance Period. At the end of the Performance Period the Committee will compute how many, if any, shares of Common Stock would be issuable pursuant to the Award based on the Company’s performance against its cumulative EPS and Revenues and average ROIC targets. That actual number of shares of Common Stock which would have been earned under the Award over the entire Performance Period will then be multiplied by a fraction the numerator of which is the number of days from the start of the Performance Period to the date that the Participant retired and the denominator of which is the total number of days in the Performance Period. This pro-rated number of shares will then be issuable to the Participant in the same manner as shares are issued to other Participants.</w:t>
      </w:r>
    </w:p>
    <w:p>
      <w:pPr>
        <w:spacing w:after="0" w:line="6" w:lineRule="exact"/>
        <w:rPr>
          <w:rFonts w:ascii="Times New Roman" w:cs="Times New Roman" w:eastAsia="Times New Roman" w:hAnsi="Times New Roman"/>
          <w:sz w:val="21"/>
          <w:szCs w:val="21"/>
          <w:color w:val="auto"/>
        </w:rPr>
      </w:pPr>
    </w:p>
    <w:p>
      <w:pPr>
        <w:jc w:val="both"/>
        <w:ind w:firstLine="466"/>
        <w:spacing w:after="0" w:line="356" w:lineRule="auto"/>
        <w:tabs>
          <w:tab w:leader="none" w:pos="93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ceases to be employed by the Company or by a direct or indirect subsidiary of the Company before the end of the Performance Period for any reason other than the reasons set forth in subsections (a), (b) and (c) of this Section 9, including, without limitation, if the Participant’s employment is terminated by the Company for cause or for such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in the Plan), the Award will be forfeited and the Participant will not have any further</w:t>
      </w:r>
    </w:p>
    <w:p>
      <w:pPr>
        <w:spacing w:after="0" w:line="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under the Award, including, without limitation, any rights to receive shares of Common Stock.</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For purposes of subsections (a), (b) and (c) above: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28" w:right="339" w:bottom="1440" w:gutter="0" w:footer="0" w:header="0"/>
        </w:sectPr>
      </w:pPr>
    </w:p>
    <w:bookmarkStart w:id="93" w:name="page94"/>
    <w:bookmarkEnd w:id="93"/>
    <w:p>
      <w:pPr>
        <w:ind w:left="660" w:hanging="4"/>
        <w:spacing w:after="0" w:line="358" w:lineRule="auto"/>
        <w:tabs>
          <w:tab w:leader="none" w:pos="1039"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year of "Credited Service" shall mean a calendar year in which the Participant is paid for at least 1,000 hours of employment with the Company or of a subsidiary of the Company.</w:t>
      </w:r>
    </w:p>
    <w:p>
      <w:pPr>
        <w:spacing w:after="0" w:line="1" w:lineRule="exact"/>
        <w:rPr>
          <w:rFonts w:ascii="Times New Roman" w:cs="Times New Roman" w:eastAsia="Times New Roman" w:hAnsi="Times New Roman"/>
          <w:sz w:val="22"/>
          <w:szCs w:val="22"/>
          <w:color w:val="auto"/>
        </w:rPr>
      </w:pPr>
    </w:p>
    <w:p>
      <w:pPr>
        <w:jc w:val="both"/>
        <w:ind w:left="660" w:hanging="4"/>
        <w:spacing w:after="0" w:line="356" w:lineRule="auto"/>
        <w:tabs>
          <w:tab w:leader="none" w:pos="102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"Early Retirement Date" shall mean: the day on which a Participant who has attained age fifty-five (55), but has not reached age sixty-five (65), with ten (l0) or more years of Credited Service, retires. A Participant is eligible for early retirement on the first day of the calendar month coincidental with or immediately following the attainment of age fifty-five (55) and the completion of ten (l0) years of Credited Service, and "early retirement" shall mean retirement by an eligible Participant at the Early Retirement Date.</w:t>
      </w:r>
    </w:p>
    <w:p>
      <w:pPr>
        <w:ind w:left="1020" w:hanging="364"/>
        <w:spacing w:after="0"/>
        <w:tabs>
          <w:tab w:leader="none" w:pos="102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 Retirement Date" shall mean: the day on which a Participant who has attained age sixty-five (65) with five</w:t>
      </w:r>
    </w:p>
    <w:p>
      <w:pPr>
        <w:spacing w:after="0" w:line="125" w:lineRule="exact"/>
        <w:rPr>
          <w:rFonts w:ascii="Times New Roman" w:cs="Times New Roman" w:eastAsia="Times New Roman" w:hAnsi="Times New Roman"/>
          <w:sz w:val="22"/>
          <w:szCs w:val="22"/>
          <w:color w:val="auto"/>
        </w:rPr>
      </w:pPr>
    </w:p>
    <w:p>
      <w:pPr>
        <w:jc w:val="both"/>
        <w:ind w:left="660"/>
        <w:spacing w:after="0" w:line="3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or more years of Credited Service, retires. A Participant is eligible for normal retirement on the first day of the calendar month coincident with or immediately following the Participant's attainment of age sixty-five (65) and completion of five (5) or more years of Credited Service, and "normal retirement" shall mean the retirement by an eligible Participant at the Normal Retirement Date.</w:t>
      </w:r>
    </w:p>
    <w:p>
      <w:pPr>
        <w:spacing w:after="0" w:line="1" w:lineRule="exact"/>
        <w:rPr>
          <w:rFonts w:ascii="Times New Roman" w:cs="Times New Roman" w:eastAsia="Times New Roman" w:hAnsi="Times New Roman"/>
          <w:sz w:val="22"/>
          <w:szCs w:val="22"/>
          <w:color w:val="auto"/>
        </w:rPr>
      </w:pPr>
    </w:p>
    <w:p>
      <w:pPr>
        <w:jc w:val="both"/>
        <w:ind w:left="660" w:hanging="4"/>
        <w:spacing w:after="0" w:line="355" w:lineRule="auto"/>
        <w:tabs>
          <w:tab w:leader="none" w:pos="99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"permanent physical or mental disability" shall mean: a Participant's inability to perform his or her job or any position which the Participant can reasonably perform with his or her background and training by reason of any medically determinable physical or mental impairment which can be expected to result in death or to be of long, continued and indefinite duration, all as determined by the Committee in its discretion.</w:t>
      </w:r>
    </w:p>
    <w:p>
      <w:pPr>
        <w:spacing w:after="0" w:line="1" w:lineRule="exact"/>
        <w:rPr>
          <w:rFonts w:ascii="Times New Roman" w:cs="Times New Roman" w:eastAsia="Times New Roman" w:hAnsi="Times New Roman"/>
          <w:sz w:val="22"/>
          <w:szCs w:val="22"/>
          <w:color w:val="auto"/>
        </w:rPr>
      </w:pPr>
    </w:p>
    <w:p>
      <w:pPr>
        <w:jc w:val="both"/>
        <w:ind w:firstLine="226"/>
        <w:spacing w:after="0" w:line="356" w:lineRule="auto"/>
        <w:tabs>
          <w:tab w:leader="none" w:pos="70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(as defined in the Plan) prior to the end of the Performance Period, this Award will be treated in accordance with the provisions of the Plan applicable to a Change in Control, provided, however, that for purposes of computing the payment due to the Participant as a result of a termination of employment following a Change in Control under the terms set forth in the Plan, (i) the full number of Target Shares will be used (as opposed to the actual number of shares, if any, that may be issuable based on performance through the date of the termination of employment following the Change in Control) and (ii) no pro-ration of the Award will be applied to account for less than the full Performance Period having had elapsed as of the date of the termination of employment following a Change in Control.</w:t>
      </w:r>
    </w:p>
    <w:p>
      <w:pPr>
        <w:spacing w:after="0" w:line="5"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adjustment provisions set forth in Section 8 of the Plan shall apply to this Award.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28" w:right="339" w:bottom="1440" w:gutter="0" w:footer="0" w:header="0"/>
        </w:sectPr>
      </w:pPr>
    </w:p>
    <w:bookmarkStart w:id="94" w:name="page95"/>
    <w:bookmarkEnd w:id="94"/>
    <w:p>
      <w:pPr>
        <w:jc w:val="both"/>
        <w:ind w:firstLine="272"/>
        <w:spacing w:after="0" w:line="355" w:lineRule="auto"/>
        <w:tabs>
          <w:tab w:leader="none" w:pos="79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not be transferable by the Participant, in whole or in part, except in accordance with Section 7 of the Plan. Any purported assignment, transfer, pledge, hypothecation or other disposition of the Award or any interest therein contrary to the provisions of the Plan, and the levy of any execution to, or the attachment or similar process upon, the Award or any interest therein, shall be null and void and without effect.</w:t>
      </w:r>
    </w:p>
    <w:p>
      <w:pPr>
        <w:spacing w:after="0" w:line="1" w:lineRule="exact"/>
        <w:rPr>
          <w:rFonts w:ascii="Times New Roman" w:cs="Times New Roman" w:eastAsia="Times New Roman" w:hAnsi="Times New Roman"/>
          <w:sz w:val="22"/>
          <w:szCs w:val="22"/>
          <w:color w:val="auto"/>
        </w:rPr>
      </w:pPr>
    </w:p>
    <w:p>
      <w:pPr>
        <w:jc w:val="both"/>
        <w:ind w:firstLine="230"/>
        <w:spacing w:after="0" w:line="358" w:lineRule="auto"/>
        <w:tabs>
          <w:tab w:leader="none" w:pos="71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applicable provisions of the Plan, and particularly to Section 7 of the Plan, this Agreement shall be binding upon and shall inure to the benefit of Participant, Participant’s successors and permitted assigns, and the Company and its successors and assigns.</w:t>
      </w:r>
    </w:p>
    <w:p>
      <w:pPr>
        <w:spacing w:after="0" w:line="1" w:lineRule="exact"/>
        <w:rPr>
          <w:rFonts w:ascii="Times New Roman" w:cs="Times New Roman" w:eastAsia="Times New Roman" w:hAnsi="Times New Roman"/>
          <w:sz w:val="22"/>
          <w:szCs w:val="22"/>
          <w:color w:val="auto"/>
        </w:rPr>
      </w:pPr>
    </w:p>
    <w:p>
      <w:pPr>
        <w:ind w:firstLine="274"/>
        <w:spacing w:after="0" w:line="352" w:lineRule="auto"/>
        <w:tabs>
          <w:tab w:leader="none" w:pos="798"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construed and enforced in accordance with the internal laws of the State of Rhode Island and Providence Plantations and applicable Federal law.</w:t>
      </w:r>
    </w:p>
    <w:p>
      <w:pPr>
        <w:jc w:val="both"/>
        <w:ind w:firstLine="380"/>
        <w:spacing w:after="0" w:line="358" w:lineRule="auto"/>
        <w:tabs>
          <w:tab w:leader="none" w:pos="1014" w:val="left"/>
        </w:tabs>
        <w:numPr>
          <w:ilvl w:val="3"/>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inconsistency between the provisions of this Agreement and, if applicable, the terms of the Participant’s Employment Agreement, the provisions set forth in the Employment Agreement shall control, provided that to the extent the provisions of this Agreement or the Participant’s Employment Agreement are inconsistent with the terms of the Plan, then the terms of the Plan shall control.</w:t>
      </w:r>
    </w:p>
    <w:p>
      <w:pPr>
        <w:spacing w:after="0" w:line="2" w:lineRule="exact"/>
        <w:rPr>
          <w:rFonts w:ascii="Times New Roman" w:cs="Times New Roman" w:eastAsia="Times New Roman" w:hAnsi="Times New Roman"/>
          <w:sz w:val="22"/>
          <w:szCs w:val="22"/>
          <w:color w:val="auto"/>
        </w:rPr>
      </w:pPr>
    </w:p>
    <w:p>
      <w:pPr>
        <w:jc w:val="both"/>
        <w:ind w:firstLine="284"/>
        <w:spacing w:after="0" w:line="358" w:lineRule="auto"/>
        <w:tabs>
          <w:tab w:leader="none" w:pos="823"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terms and conditions of the Plan or this Agreement, unless there is an available exemption from any registration, qualification or other legal requirement applicable to the issuance of this Award or any shares of Common Stock and the Participant may become entitled to under the Award in the future, the Company shall not be required to deliver any such securities prior to the completion of any registration or qualification of any such securities under any non-U.S. securities, exchange control or other law, or under the ruling or regulations of any governmental regulatory body, or prior to obtaining any approval or other clearance from any governmental agency, which registration, qualification or approval the Company shall, in its absolute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 such securities. Further, the Participant agrees that his or her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spacing w:after="0" w:line="3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28" w:right="339" w:bottom="1440" w:gutter="0" w:footer="0" w:header="0"/>
        </w:sectPr>
      </w:pPr>
    </w:p>
    <w:bookmarkStart w:id="95" w:name="page96"/>
    <w:bookmarkEnd w:id="95"/>
    <w:p>
      <w:pPr>
        <w:jc w:val="both"/>
        <w:spacing w:after="0" w:line="419" w:lineRule="auto"/>
        <w:rPr>
          <w:sz w:val="20"/>
          <w:szCs w:val="20"/>
          <w:color w:val="auto"/>
        </w:rPr>
      </w:pPr>
      <w:r>
        <w:rPr>
          <w:rFonts w:ascii="Times New Roman" w:cs="Times New Roman" w:eastAsia="Times New Roman" w:hAnsi="Times New Roman"/>
          <w:sz w:val="22"/>
          <w:szCs w:val="22"/>
          <w:color w:val="auto"/>
        </w:rPr>
        <w:t>IN WITNESS WHEREOF, the Company and the Participant have entered this Agreement effective as of the day and year first above written. By accepting the terms of the award represented by this Agreement through an electronic form offered by the Company, or the Company’s designee, the Participant hereby agrees to the terms of this Agreement with the same effect as if the Participant had signed this Agreement.</w:t>
      </w: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HASBRO, INC.</w:t>
      </w:r>
    </w:p>
    <w:p>
      <w:pPr>
        <w:spacing w:after="0" w:line="3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Christian P. Cocks</w:t>
      </w:r>
    </w:p>
    <w:p>
      <w:pPr>
        <w:ind w:left="280"/>
        <w:spacing w:after="0" w:line="204" w:lineRule="auto"/>
        <w:rPr>
          <w:sz w:val="20"/>
          <w:szCs w:val="20"/>
          <w:color w:val="auto"/>
        </w:rPr>
      </w:pPr>
      <w:r>
        <w:rPr>
          <w:rFonts w:ascii="Times New Roman" w:cs="Times New Roman" w:eastAsia="Times New Roman" w:hAnsi="Times New Roman"/>
          <w:sz w:val="22"/>
          <w:szCs w:val="22"/>
          <w:color w:val="auto"/>
        </w:rPr>
        <w:t>Christian P. Cocks</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By: _________________________</w:t>
      </w:r>
    </w:p>
    <w:p>
      <w:pPr>
        <w:ind w:left="108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4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6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5"/>
          <w:szCs w:val="25"/>
          <w:color w:val="auto"/>
        </w:rPr>
        <w:t>Metrics (Revenue, EPS and ROIC) will be computed excluding the impact of the following events or activities which occur during the Performance Period:</w:t>
      </w:r>
    </w:p>
    <w:p>
      <w:pPr>
        <w:spacing w:after="0" w:line="157" w:lineRule="exact"/>
        <w:rPr>
          <w:sz w:val="20"/>
          <w:szCs w:val="20"/>
          <w:color w:val="auto"/>
        </w:rPr>
      </w:pPr>
    </w:p>
    <w:p>
      <w:pPr>
        <w:jc w:val="both"/>
        <w:ind w:left="660" w:hanging="652"/>
        <w:spacing w:after="0" w:line="212" w:lineRule="auto"/>
        <w:tabs>
          <w:tab w:leader="none" w:pos="67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EPS and ROIC will be computed excluding the impact of any unusual, one-time, non-operating or other significant unbudgeted costs or expenses in excess of $25 million in any fiscal year during the Performance Period, which costs, or expenses are related to any restructuring activities undertaken by the Company during the Performance Period,</w:t>
      </w:r>
    </w:p>
    <w:p>
      <w:pPr>
        <w:spacing w:after="0" w:line="1" w:lineRule="exact"/>
        <w:rPr>
          <w:rFonts w:ascii="Times New Roman" w:cs="Times New Roman" w:eastAsia="Times New Roman" w:hAnsi="Times New Roman"/>
          <w:sz w:val="22"/>
          <w:szCs w:val="22"/>
          <w:color w:val="auto"/>
        </w:rPr>
      </w:pPr>
    </w:p>
    <w:p>
      <w:pPr>
        <w:jc w:val="both"/>
        <w:ind w:left="660" w:hanging="652"/>
        <w:spacing w:after="0" w:line="204" w:lineRule="auto"/>
        <w:tabs>
          <w:tab w:leader="none" w:pos="72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EPS and ROIC will be computed excluding the impact of any unusual, one-time, non-operating or other significant unbudgeted costs or expenses in excess of $10 million in any fiscal year during the Performance Period, which costs, or expenses are related to acquisitions or dispositions (whether paid for in cash, shares of the Company’s stock, other property, or any combination thereof) consummated by the Company during the Performance Period,</w:t>
      </w:r>
    </w:p>
    <w:p>
      <w:pPr>
        <w:spacing w:after="0" w:line="3" w:lineRule="exact"/>
        <w:rPr>
          <w:rFonts w:ascii="Times New Roman" w:cs="Times New Roman" w:eastAsia="Times New Roman" w:hAnsi="Times New Roman"/>
          <w:sz w:val="22"/>
          <w:szCs w:val="22"/>
          <w:color w:val="auto"/>
        </w:rPr>
      </w:pPr>
    </w:p>
    <w:p>
      <w:pPr>
        <w:jc w:val="both"/>
        <w:ind w:left="660" w:hanging="652"/>
        <w:spacing w:after="0" w:line="204" w:lineRule="auto"/>
        <w:tabs>
          <w:tab w:leader="none" w:pos="70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EPS and ROIC will be computed excluding the impact of any intangible asset amortization or unusual, one-time, non-operating or other unbudgeted costs or expenses associated with the acquisition of eOne, such as integration costs, non-cash stock compensation, and capital expenditures,</w:t>
      </w:r>
    </w:p>
    <w:p>
      <w:pPr>
        <w:spacing w:after="0" w:line="2" w:lineRule="exact"/>
        <w:rPr>
          <w:rFonts w:ascii="Times New Roman" w:cs="Times New Roman" w:eastAsia="Times New Roman" w:hAnsi="Times New Roman"/>
          <w:sz w:val="22"/>
          <w:szCs w:val="22"/>
          <w:color w:val="auto"/>
        </w:rPr>
      </w:pPr>
    </w:p>
    <w:p>
      <w:pPr>
        <w:jc w:val="both"/>
        <w:ind w:left="660" w:hanging="652"/>
        <w:spacing w:after="0" w:line="204" w:lineRule="auto"/>
        <w:tabs>
          <w:tab w:leader="none" w:pos="76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EPS and ROIC will be computed excluding the impact of any unusual, one-time, non-operating or other significant unbudgeted costs or expenses related to non-cash asset impairment charges in excess of $25 million in any fiscal year during the Performance Period,</w:t>
      </w:r>
    </w:p>
    <w:p>
      <w:pPr>
        <w:spacing w:after="0" w:line="2" w:lineRule="exact"/>
        <w:rPr>
          <w:rFonts w:ascii="Times New Roman" w:cs="Times New Roman" w:eastAsia="Times New Roman" w:hAnsi="Times New Roman"/>
          <w:sz w:val="22"/>
          <w:szCs w:val="22"/>
          <w:color w:val="auto"/>
        </w:rPr>
      </w:pPr>
    </w:p>
    <w:p>
      <w:pPr>
        <w:jc w:val="both"/>
        <w:ind w:left="660" w:hanging="652"/>
        <w:spacing w:after="0" w:line="204" w:lineRule="auto"/>
        <w:tabs>
          <w:tab w:leader="none" w:pos="63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metrics will be computed excluding the impact of any unusual, one-time, non-operating or other significant unbudgeted costs or expenses in excess of $10 million in any fiscal year during the Performance Period, which costs, or expenses are related to changes in accounting rules that are effective after the date of this Agreement,</w:t>
      </w:r>
    </w:p>
    <w:p>
      <w:pPr>
        <w:spacing w:after="0" w:line="2" w:lineRule="exact"/>
        <w:rPr>
          <w:rFonts w:ascii="Times New Roman" w:cs="Times New Roman" w:eastAsia="Times New Roman" w:hAnsi="Times New Roman"/>
          <w:sz w:val="22"/>
          <w:szCs w:val="22"/>
          <w:color w:val="auto"/>
        </w:rPr>
      </w:pPr>
    </w:p>
    <w:p>
      <w:pPr>
        <w:jc w:val="both"/>
        <w:ind w:left="660" w:hanging="652"/>
        <w:spacing w:after="0" w:line="218" w:lineRule="auto"/>
        <w:tabs>
          <w:tab w:leader="none" w:pos="76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EPS and ROIC will be computed excluding the impact of any unusual, one-time, non-operating or other significant unbudgeted costs or expenses in excess of $25 million in any fiscal year during the Performance Period, which costs, or expenses relate to litigations, arbitrations, or regulatory matters, or cash settlements,</w:t>
      </w:r>
    </w:p>
    <w:p>
      <w:pPr>
        <w:spacing w:after="0" w:line="150" w:lineRule="exact"/>
        <w:rPr>
          <w:rFonts w:ascii="Times New Roman" w:cs="Times New Roman" w:eastAsia="Times New Roman" w:hAnsi="Times New Roman"/>
          <w:sz w:val="22"/>
          <w:szCs w:val="22"/>
          <w:color w:val="auto"/>
        </w:rPr>
      </w:pPr>
    </w:p>
    <w:p>
      <w:pPr>
        <w:jc w:val="both"/>
        <w:ind w:left="660" w:hanging="652"/>
        <w:spacing w:after="0" w:line="226" w:lineRule="auto"/>
        <w:tabs>
          <w:tab w:leader="none" w:pos="68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EPS and ROIC will be computed excluding the impact of unanticipated one-time operational or tax costs associated with changes to the US tax code that impacts cash flow, operating profit and/or tax expenses in excess of $10 million in any</w:t>
      </w:r>
    </w:p>
    <w:p>
      <w:pPr>
        <w:ind w:left="660"/>
        <w:spacing w:after="0" w:line="206" w:lineRule="auto"/>
        <w:rPr>
          <w:sz w:val="20"/>
          <w:szCs w:val="20"/>
          <w:color w:val="auto"/>
        </w:rPr>
      </w:pPr>
      <w:r>
        <w:rPr>
          <w:rFonts w:ascii="Times New Roman" w:cs="Times New Roman" w:eastAsia="Times New Roman" w:hAnsi="Times New Roman"/>
          <w:sz w:val="22"/>
          <w:szCs w:val="22"/>
          <w:color w:val="auto"/>
        </w:rPr>
        <w:t>fiscal year during the Performance Period,</w:t>
      </w:r>
    </w:p>
    <w:p>
      <w:pPr>
        <w:ind w:left="800" w:hanging="792"/>
        <w:spacing w:after="0" w:line="204" w:lineRule="auto"/>
        <w:tabs>
          <w:tab w:leader="none" w:pos="8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metrics will be computed excluding the impact of any customer bankruptcy or significant financial issue that is</w:t>
      </w:r>
    </w:p>
    <w:p>
      <w:pPr>
        <w:jc w:val="center"/>
        <w:ind w:right="-59"/>
        <w:spacing w:after="0" w:line="205" w:lineRule="auto"/>
        <w:rPr>
          <w:sz w:val="20"/>
          <w:szCs w:val="20"/>
          <w:color w:val="auto"/>
        </w:rPr>
      </w:pPr>
      <w:r>
        <w:rPr>
          <w:rFonts w:ascii="Times New Roman" w:cs="Times New Roman" w:eastAsia="Times New Roman" w:hAnsi="Times New Roman"/>
          <w:sz w:val="22"/>
          <w:szCs w:val="22"/>
          <w:color w:val="auto"/>
        </w:rPr>
        <w:t>estimated to have an impact on the Company’s net sales of $100,000,000 or more over the Performance Period, and</w:t>
      </w:r>
    </w:p>
    <w:p>
      <w:pPr>
        <w:spacing w:after="0" w:line="1" w:lineRule="exact"/>
        <w:rPr>
          <w:sz w:val="20"/>
          <w:szCs w:val="20"/>
          <w:color w:val="auto"/>
        </w:rPr>
      </w:pPr>
    </w:p>
    <w:p>
      <w:pPr>
        <w:jc w:val="both"/>
        <w:ind w:left="660" w:hanging="652"/>
        <w:spacing w:after="0" w:line="218" w:lineRule="auto"/>
        <w:tabs>
          <w:tab w:leader="none" w:pos="61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metrics will be computed excluding the impact of all such items occurring after the effective date of this Award which were not contemplated in the Company’s budget and operating plan used for purposes of determine the performance goals, such as material acquisition and dispositions.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86"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65"/>
          <w:szCs w:val="65"/>
          <w:color w:val="auto"/>
        </w:rPr>
        <w:t>Hasbro, Inc</w:t>
      </w:r>
      <w:r>
        <w:rPr>
          <w:rFonts w:ascii="Times New Roman" w:cs="Times New Roman" w:eastAsia="Times New Roman" w:hAnsi="Times New Roman"/>
          <w:sz w:val="32"/>
          <w:szCs w:val="32"/>
          <w:color w:val="auto"/>
        </w:rPr>
        <w:t>.</w:t>
      </w:r>
    </w:p>
    <w:p>
      <w:pPr>
        <w:spacing w:after="0" w:line="16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43"/>
          <w:szCs w:val="43"/>
          <w:u w:val="single" w:color="auto"/>
          <w:color w:val="auto"/>
        </w:rPr>
        <w:t>Performance Rewards Program</w:t>
      </w:r>
    </w:p>
    <w:p>
      <w:pPr>
        <w:ind w:left="3360"/>
        <w:spacing w:after="0"/>
        <w:rPr>
          <w:sz w:val="20"/>
          <w:szCs w:val="20"/>
          <w:color w:val="auto"/>
        </w:rPr>
      </w:pPr>
      <w:r>
        <w:rPr>
          <w:rFonts w:ascii="Times New Roman" w:cs="Times New Roman" w:eastAsia="Times New Roman" w:hAnsi="Times New Roman"/>
          <w:sz w:val="36"/>
          <w:szCs w:val="36"/>
          <w:color w:val="auto"/>
        </w:rPr>
        <w:t>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5"/>
          <w:szCs w:val="25"/>
          <w:color w:val="auto"/>
        </w:rPr>
        <w:t>Hasbro, Inc.</w:t>
      </w:r>
    </w:p>
    <w:p>
      <w:pPr>
        <w:sectPr>
          <w:pgSz w:w="11900" w:h="16838" w:orient="portrait"/>
          <w:cols w:equalWidth="0" w:num="1">
            <w:col w:w="10120"/>
          </w:cols>
          <w:pgMar w:left="1440" w:top="1399" w:right="33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25"/>
          <w:szCs w:val="25"/>
          <w:u w:val="single" w:color="auto"/>
          <w:color w:val="auto"/>
        </w:rPr>
        <w:t>Performance Rewards Program</w:t>
      </w:r>
    </w:p>
    <w:p>
      <w:pPr>
        <w:spacing w:after="0" w:line="19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1"/>
          <w:szCs w:val="21"/>
          <w:u w:val="single" w:color="auto"/>
          <w:color w:val="auto"/>
        </w:rPr>
        <w:t>Background</w:t>
      </w: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1"/>
          <w:szCs w:val="21"/>
          <w:color w:val="auto"/>
        </w:rPr>
        <w:t xml:space="preserve">Performance Rewards Program </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“PRP”)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-22225</wp:posOffset>
            </wp:positionV>
            <wp:extent cx="22091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2209165" cy="8255"/>
                    </a:xfrm>
                    <a:prstGeom prst="rect">
                      <a:avLst/>
                    </a:prstGeom>
                    <a:noFill/>
                  </pic:spPr>
                </pic:pic>
              </a:graphicData>
            </a:graphic>
          </wp:anchor>
        </w:drawing>
      </w:r>
    </w:p>
    <w:p>
      <w:pPr>
        <w:ind w:left="2260" w:right="1140" w:hanging="238"/>
        <w:spacing w:after="0" w:line="230" w:lineRule="auto"/>
        <w:tabs>
          <w:tab w:leader="none" w:pos="2270" w:val="left"/>
        </w:tabs>
        <w:numPr>
          <w:ilvl w:val="0"/>
          <w:numId w:val="83"/>
        </w:numPr>
        <w:rPr>
          <w:rFonts w:ascii="Arial" w:cs="Arial" w:eastAsia="Arial" w:hAnsi="Arial"/>
          <w:sz w:val="22"/>
          <w:szCs w:val="22"/>
          <w:color w:val="auto"/>
        </w:rPr>
      </w:pPr>
      <w:r>
        <w:rPr>
          <w:rFonts w:ascii="Times New Roman" w:cs="Times New Roman" w:eastAsia="Times New Roman" w:hAnsi="Times New Roman"/>
          <w:sz w:val="22"/>
          <w:szCs w:val="22"/>
          <w:color w:val="auto"/>
        </w:rPr>
        <w:t>Establishes standard criteria to determine PRP eligibility and overall company or business objectives.</w:t>
      </w:r>
    </w:p>
    <w:p>
      <w:pPr>
        <w:spacing w:after="0" w:line="217" w:lineRule="exact"/>
        <w:rPr>
          <w:rFonts w:ascii="Arial" w:cs="Arial" w:eastAsia="Arial" w:hAnsi="Arial"/>
          <w:sz w:val="22"/>
          <w:szCs w:val="22"/>
          <w:color w:val="auto"/>
        </w:rPr>
      </w:pPr>
    </w:p>
    <w:p>
      <w:pPr>
        <w:ind w:left="2280" w:hanging="258"/>
        <w:spacing w:after="0"/>
        <w:tabs>
          <w:tab w:leader="none" w:pos="2280" w:val="left"/>
        </w:tabs>
        <w:numPr>
          <w:ilvl w:val="0"/>
          <w:numId w:val="83"/>
        </w:numPr>
        <w:rPr>
          <w:rFonts w:ascii="Arial" w:cs="Arial" w:eastAsia="Arial" w:hAnsi="Arial"/>
          <w:sz w:val="22"/>
          <w:szCs w:val="22"/>
          <w:color w:val="auto"/>
        </w:rPr>
      </w:pPr>
      <w:r>
        <w:rPr>
          <w:rFonts w:ascii="Times New Roman" w:cs="Times New Roman" w:eastAsia="Times New Roman" w:hAnsi="Times New Roman"/>
          <w:sz w:val="22"/>
          <w:szCs w:val="22"/>
          <w:color w:val="auto"/>
        </w:rPr>
        <w:t>Provides guidelines for the establishment of target incentive awards.</w:t>
      </w:r>
    </w:p>
    <w:p>
      <w:pPr>
        <w:spacing w:after="0" w:line="24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The following describes the various plans that are funded pursuant to the PRP.</w:t>
      </w:r>
    </w:p>
    <w:p>
      <w:pPr>
        <w:spacing w:after="0" w:line="206" w:lineRule="exact"/>
        <w:rPr>
          <w:sz w:val="20"/>
          <w:szCs w:val="20"/>
          <w:color w:val="auto"/>
        </w:rPr>
      </w:pPr>
    </w:p>
    <w:p>
      <w:pPr>
        <w:ind w:left="2260" w:right="1160" w:hanging="238"/>
        <w:spacing w:after="0" w:line="254" w:lineRule="auto"/>
        <w:tabs>
          <w:tab w:leader="none" w:pos="2270" w:val="left"/>
        </w:tabs>
        <w:numPr>
          <w:ilvl w:val="0"/>
          <w:numId w:val="84"/>
        </w:numPr>
        <w:rPr>
          <w:rFonts w:ascii="Arial" w:cs="Arial" w:eastAsia="Arial" w:hAnsi="Arial"/>
          <w:sz w:val="21"/>
          <w:szCs w:val="21"/>
          <w:color w:val="auto"/>
        </w:rPr>
      </w:pPr>
      <w:r>
        <w:rPr>
          <w:rFonts w:ascii="Times New Roman" w:cs="Times New Roman" w:eastAsia="Times New Roman" w:hAnsi="Times New Roman"/>
          <w:sz w:val="21"/>
          <w:szCs w:val="21"/>
          <w:color w:val="auto"/>
        </w:rPr>
        <w:t>Corporate Plan - Funding under the PRP for eligible employees identified pursuant to Section 1.5 is based on performance of Hasbro, Inc. and its subsidiaries (the “Company”).</w:t>
      </w:r>
    </w:p>
    <w:p>
      <w:pPr>
        <w:spacing w:after="0" w:line="162" w:lineRule="exact"/>
        <w:rPr>
          <w:rFonts w:ascii="Arial" w:cs="Arial" w:eastAsia="Arial" w:hAnsi="Arial"/>
          <w:sz w:val="21"/>
          <w:szCs w:val="21"/>
          <w:color w:val="auto"/>
        </w:rPr>
      </w:pPr>
    </w:p>
    <w:p>
      <w:pPr>
        <w:ind w:left="2260" w:right="1260" w:hanging="238"/>
        <w:spacing w:after="0" w:line="212" w:lineRule="auto"/>
        <w:tabs>
          <w:tab w:leader="none" w:pos="2270" w:val="left"/>
        </w:tabs>
        <w:numPr>
          <w:ilvl w:val="0"/>
          <w:numId w:val="84"/>
        </w:numPr>
        <w:rPr>
          <w:rFonts w:ascii="Arial" w:cs="Arial" w:eastAsia="Arial" w:hAnsi="Arial"/>
          <w:sz w:val="22"/>
          <w:szCs w:val="22"/>
          <w:color w:val="auto"/>
        </w:rPr>
      </w:pPr>
      <w:r>
        <w:rPr>
          <w:rFonts w:ascii="Times New Roman" w:cs="Times New Roman" w:eastAsia="Times New Roman" w:hAnsi="Times New Roman"/>
          <w:sz w:val="22"/>
          <w:szCs w:val="22"/>
          <w:color w:val="auto"/>
        </w:rPr>
        <w:t>Business Area Plans - Funding under the PRP for eligible employees identified pursuant to Section 1.5 will be based on the performance of the applicable business area of the Company. For purposes of this document, each of the following is referred to as “Business Area:” the Consumer Products reporting segment, the Entertainment reporting segment and the Wizards of the Coast and Digital Gaming reporting segment (“Wizards”), and the following other business units: Commercial, Digital Licensing, Family Brands, Film &amp; TV, Licensed Consumer Products, PULSE, Round Room Live, and Secret Location.</w:t>
      </w:r>
    </w:p>
    <w:p>
      <w:pPr>
        <w:spacing w:after="0" w:line="236" w:lineRule="exact"/>
        <w:rPr>
          <w:rFonts w:ascii="Arial" w:cs="Arial" w:eastAsia="Arial" w:hAnsi="Arial"/>
          <w:sz w:val="22"/>
          <w:szCs w:val="22"/>
          <w:color w:val="auto"/>
        </w:rPr>
      </w:pPr>
    </w:p>
    <w:p>
      <w:pPr>
        <w:ind w:left="2260" w:right="1200" w:hanging="238"/>
        <w:spacing w:after="0" w:line="220" w:lineRule="auto"/>
        <w:tabs>
          <w:tab w:leader="none" w:pos="2270" w:val="left"/>
        </w:tabs>
        <w:numPr>
          <w:ilvl w:val="0"/>
          <w:numId w:val="84"/>
        </w:numPr>
        <w:rPr>
          <w:rFonts w:ascii="Arial" w:cs="Arial" w:eastAsia="Arial" w:hAnsi="Arial"/>
          <w:sz w:val="22"/>
          <w:szCs w:val="22"/>
          <w:color w:val="auto"/>
        </w:rPr>
      </w:pPr>
      <w:r>
        <w:rPr>
          <w:rFonts w:ascii="Times New Roman" w:cs="Times New Roman" w:eastAsia="Times New Roman" w:hAnsi="Times New Roman"/>
          <w:sz w:val="22"/>
          <w:szCs w:val="22"/>
          <w:color w:val="auto"/>
        </w:rPr>
        <w:t>Performance objectives and goals are established to measure performance achievement and may be based on one or more of the following: Net Revenues; Operating Profit Margin and Free Cash Flow for Company performance; and Net Revenues and Operating Profit Margin for Business Area performance.</w:t>
      </w:r>
    </w:p>
    <w:p>
      <w:pPr>
        <w:spacing w:after="0" w:line="4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Purpose</w:t>
      </w:r>
    </w:p>
    <w:p>
      <w:pPr>
        <w:ind w:left="1300"/>
        <w:spacing w:after="0" w:line="214" w:lineRule="auto"/>
        <w:rPr>
          <w:sz w:val="20"/>
          <w:szCs w:val="20"/>
          <w:color w:val="auto"/>
        </w:rPr>
      </w:pPr>
      <w:r>
        <w:rPr>
          <w:rFonts w:ascii="Times New Roman" w:cs="Times New Roman" w:eastAsia="Times New Roman" w:hAnsi="Times New Roman"/>
          <w:sz w:val="22"/>
          <w:szCs w:val="22"/>
          <w:color w:val="auto"/>
        </w:rPr>
        <w:t>The Company has established this PRP for the purpose of providing annual incentive compensation to those employees who contribute significantly to the growth and success of the Company’s business; to attract and retain, in the employ of the Company, individuals of outstanding ability; and to align the interests of employees with the interest of the Company’s shareholders.</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General Guideline</w:t>
      </w:r>
    </w:p>
    <w:p>
      <w:pPr>
        <w:ind w:left="1300"/>
        <w:spacing w:after="0"/>
        <w:rPr>
          <w:sz w:val="20"/>
          <w:szCs w:val="20"/>
          <w:color w:val="auto"/>
        </w:rPr>
      </w:pPr>
      <w:r>
        <w:rPr>
          <w:rFonts w:ascii="Times New Roman" w:cs="Times New Roman" w:eastAsia="Times New Roman" w:hAnsi="Times New Roman"/>
          <w:sz w:val="22"/>
          <w:szCs w:val="22"/>
          <w:color w:val="auto"/>
        </w:rPr>
        <w:t>No employee has any legal entitlement to participate in the PRP or to receive an incentive award under the PRP.</w:t>
      </w:r>
    </w:p>
    <w:p>
      <w:pPr>
        <w:spacing w:after="0" w:line="3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u w:val="single" w:color="auto"/>
          <w:color w:val="auto"/>
        </w:rPr>
        <w:t>Scope</w:t>
      </w:r>
    </w:p>
    <w:p>
      <w:pPr>
        <w:ind w:left="1300"/>
        <w:spacing w:after="0"/>
        <w:rPr>
          <w:sz w:val="20"/>
          <w:szCs w:val="20"/>
          <w:color w:val="auto"/>
        </w:rPr>
      </w:pPr>
      <w:r>
        <w:rPr>
          <w:rFonts w:ascii="Times New Roman" w:cs="Times New Roman" w:eastAsia="Times New Roman" w:hAnsi="Times New Roman"/>
          <w:sz w:val="22"/>
          <w:szCs w:val="22"/>
          <w:color w:val="auto"/>
        </w:rPr>
        <w:t>The PRP is applicable to eligible employees of the Company.</w:t>
      </w:r>
    </w:p>
    <w:p>
      <w:pPr>
        <w:spacing w:after="0" w:line="169"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Eligibility</w:t>
      </w:r>
    </w:p>
    <w:p>
      <w:pPr>
        <w:ind w:left="1300" w:right="180"/>
        <w:spacing w:after="0" w:line="225" w:lineRule="auto"/>
        <w:rPr>
          <w:sz w:val="20"/>
          <w:szCs w:val="20"/>
          <w:color w:val="auto"/>
        </w:rPr>
      </w:pPr>
      <w:r>
        <w:rPr>
          <w:rFonts w:ascii="Times New Roman" w:cs="Times New Roman" w:eastAsia="Times New Roman" w:hAnsi="Times New Roman"/>
          <w:sz w:val="22"/>
          <w:szCs w:val="22"/>
          <w:color w:val="auto"/>
        </w:rPr>
        <w:t>Management shall determine, in its sole discretion, those employees whose duties and responsibilities contribute significantly to the growth and success of the Company’s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129" w:right="379" w:bottom="1440" w:gutter="0" w:footer="0" w:header="0"/>
        </w:sectPr>
      </w:pPr>
    </w:p>
    <w:bookmarkStart w:id="99" w:name="page100"/>
    <w:bookmarkEnd w:id="99"/>
    <w:p>
      <w:pPr>
        <w:ind w:left="1300" w:right="180"/>
        <w:spacing w:after="0" w:line="217" w:lineRule="auto"/>
        <w:rPr>
          <w:sz w:val="20"/>
          <w:szCs w:val="20"/>
          <w:color w:val="auto"/>
        </w:rPr>
      </w:pPr>
      <w:r>
        <w:rPr>
          <w:rFonts w:ascii="Times New Roman" w:cs="Times New Roman" w:eastAsia="Times New Roman" w:hAnsi="Times New Roman"/>
          <w:sz w:val="22"/>
          <w:szCs w:val="22"/>
          <w:color w:val="auto"/>
        </w:rPr>
        <w:t>business and are eligible to participate in the PRP. Eligibility to participate in the PRP does not guarantee the receipt of an incentive award under the PRP. Unless otherwise required by law or determined by management, if an employee is eligible to participate in the PRP and/or any other annual incentive (or similar) plan implemented from time to time by the Company, such employee may only participate in one plan at the same time, as determined by the Company in its sole discretion.</w:t>
      </w:r>
    </w:p>
    <w:p>
      <w:pPr>
        <w:spacing w:after="0" w:line="179" w:lineRule="exact"/>
        <w:rPr>
          <w:sz w:val="20"/>
          <w:szCs w:val="20"/>
          <w:color w:val="auto"/>
        </w:rPr>
      </w:pPr>
    </w:p>
    <w:p>
      <w:pPr>
        <w:jc w:val="both"/>
        <w:ind w:left="1300" w:right="200"/>
        <w:spacing w:after="0" w:line="236" w:lineRule="auto"/>
        <w:rPr>
          <w:sz w:val="20"/>
          <w:szCs w:val="20"/>
          <w:color w:val="auto"/>
        </w:rPr>
      </w:pPr>
      <w:r>
        <w:rPr>
          <w:rFonts w:ascii="Times New Roman" w:cs="Times New Roman" w:eastAsia="Times New Roman" w:hAnsi="Times New Roman"/>
          <w:sz w:val="21"/>
          <w:szCs w:val="21"/>
          <w:color w:val="auto"/>
        </w:rPr>
        <w:t>Eligible employees will be assigned to the Corporate Plan or a Business Area Plan for an employee’s applicable Business Area, in each case at the Company’s sole discretion. Eligible employees selected to participate in either the Corporate Plan or one of the Business Area Plans are referred to herein as “participants.”</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2.0</w:t>
      </w:r>
      <w:r>
        <w:rPr>
          <w:sz w:val="20"/>
          <w:szCs w:val="20"/>
          <w:color w:val="auto"/>
        </w:rPr>
        <w:tab/>
      </w:r>
      <w:r>
        <w:rPr>
          <w:rFonts w:ascii="Times New Roman" w:cs="Times New Roman" w:eastAsia="Times New Roman" w:hAnsi="Times New Roman"/>
          <w:sz w:val="21"/>
          <w:szCs w:val="21"/>
          <w:u w:val="single" w:color="auto"/>
          <w:color w:val="auto"/>
        </w:rPr>
        <w:t>Incentive Award Levels</w:t>
      </w:r>
    </w:p>
    <w:p>
      <w:pPr>
        <w:spacing w:after="0" w:line="193"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Target Incentive Award</w:t>
      </w:r>
    </w:p>
    <w:p>
      <w:pPr>
        <w:ind w:left="1300" w:hanging="863"/>
        <w:spacing w:after="0" w:line="208" w:lineRule="auto"/>
        <w:rPr>
          <w:sz w:val="20"/>
          <w:szCs w:val="20"/>
          <w:color w:val="auto"/>
        </w:rPr>
      </w:pPr>
      <w:r>
        <w:rPr>
          <w:rFonts w:ascii="Times New Roman" w:cs="Times New Roman" w:eastAsia="Times New Roman" w:hAnsi="Times New Roman"/>
          <w:sz w:val="22"/>
          <w:szCs w:val="22"/>
          <w:color w:val="auto"/>
        </w:rPr>
        <w:t>Except as otherwise determined by the Company, target incentive awards are expressed as a percentage of earned salary for the PRP year. For purposes of this PRP, earned salary means all base compensation for the participant for the fiscal year, which base compensation shall include all base compensation amounts deferred into the Company’s retirement savings plan (but excluding any matching or Company contributions made to such plan on the participant’s behalf), the Company’s Non-Qualified Deferred Compensation Plan and/or any similar successor plans for the fiscal year and excludes, where allowed by law, any bonus or other benefits, other than base compensation, for the fiscal year. By design, the target incentive awards are the award levels that PRP participants are eligible to earn when they, the Company or their applicable Business Area achieve their financial goals and objectives. Target incentive awards may be determined by job level, previously determined percentage of base salary, or a previously determined fixed percentage or amount. Target incentive awards may also vary by region or Business Area.</w:t>
      </w:r>
    </w:p>
    <w:p>
      <w:pPr>
        <w:spacing w:after="0" w:line="143"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Maximum Incentive Award</w:t>
      </w:r>
    </w:p>
    <w:p>
      <w:pPr>
        <w:ind w:left="1300" w:right="220"/>
        <w:spacing w:after="0" w:line="218" w:lineRule="auto"/>
        <w:rPr>
          <w:sz w:val="20"/>
          <w:szCs w:val="20"/>
          <w:color w:val="auto"/>
        </w:rPr>
      </w:pPr>
      <w:r>
        <w:rPr>
          <w:rFonts w:ascii="Times New Roman" w:cs="Times New Roman" w:eastAsia="Times New Roman" w:hAnsi="Times New Roman"/>
          <w:sz w:val="22"/>
          <w:szCs w:val="22"/>
          <w:color w:val="auto"/>
        </w:rPr>
        <w:t>Under the PRP, the maximum incentive award for participants below job level 80 is 200% of the target incentive award. The maximum incentive award for employees in a job level 80 or above is 300% of the target incentive award.</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3.0</w:t>
      </w:r>
      <w:r>
        <w:rPr>
          <w:sz w:val="20"/>
          <w:szCs w:val="20"/>
          <w:color w:val="auto"/>
        </w:rPr>
        <w:tab/>
      </w:r>
      <w:r>
        <w:rPr>
          <w:rFonts w:ascii="Times New Roman" w:cs="Times New Roman" w:eastAsia="Times New Roman" w:hAnsi="Times New Roman"/>
          <w:sz w:val="21"/>
          <w:szCs w:val="21"/>
          <w:u w:val="single" w:color="auto"/>
          <w:color w:val="auto"/>
        </w:rPr>
        <w:t>Measures of Performance</w:t>
      </w:r>
    </w:p>
    <w:p>
      <w:pPr>
        <w:ind w:left="1300" w:hanging="320"/>
        <w:spacing w:after="0" w:line="204" w:lineRule="auto"/>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PRP funding for the Corporate Plan is based 100% on Company performance.</w:t>
      </w:r>
    </w:p>
    <w:p>
      <w:pPr>
        <w:ind w:left="1300" w:right="180" w:hanging="320"/>
        <w:spacing w:after="0" w:line="225" w:lineRule="auto"/>
        <w:tabs>
          <w:tab w:leader="none" w:pos="129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PRP funding for each of the Business Area Plans is based 80% on the applicable Business Area performance and 20% on Company performance.</w:t>
      </w:r>
    </w:p>
    <w:p>
      <w:pPr>
        <w:spacing w:after="0" w:line="200" w:lineRule="exact"/>
        <w:rPr>
          <w:sz w:val="20"/>
          <w:szCs w:val="20"/>
          <w:color w:val="auto"/>
        </w:rPr>
      </w:pPr>
    </w:p>
    <w:p>
      <w:pPr>
        <w:spacing w:after="0" w:line="20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Establishing Company or Business Area Performance Metrics and Targets</w:t>
      </w:r>
    </w:p>
    <w:p>
      <w:pPr>
        <w:ind w:left="1300" w:right="100" w:hanging="863"/>
        <w:spacing w:after="0" w:line="212" w:lineRule="auto"/>
        <w:rPr>
          <w:sz w:val="20"/>
          <w:szCs w:val="20"/>
          <w:color w:val="auto"/>
        </w:rPr>
      </w:pPr>
      <w:r>
        <w:rPr>
          <w:rFonts w:ascii="Times New Roman" w:cs="Times New Roman" w:eastAsia="Times New Roman" w:hAnsi="Times New Roman"/>
          <w:sz w:val="22"/>
          <w:szCs w:val="22"/>
          <w:color w:val="auto"/>
        </w:rPr>
        <w:t>In the first quarter of the PRP year, the Company’s senior management will establish performance metrics and the level of target performance for the year associated with each of the performance metrics for the Corporate Plan and the various Business Area Plans. Those performance metrics and target levels are reviewed and approved by the Company’s Chief Executive Officer (“CEO”) and, with respect to the Corporate Plan, by the Company’s Board of Directors (“Board”) or the Compensation Committee of the Board (the “Compensation Committee”).</w:t>
      </w:r>
    </w:p>
    <w:p>
      <w:pPr>
        <w:spacing w:after="0" w:line="169"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Company Performance Metrics</w:t>
      </w:r>
    </w:p>
    <w:p>
      <w:pPr>
        <w:jc w:val="both"/>
        <w:ind w:left="1300" w:right="500"/>
        <w:spacing w:after="0" w:line="218" w:lineRule="auto"/>
        <w:rPr>
          <w:sz w:val="20"/>
          <w:szCs w:val="20"/>
          <w:color w:val="auto"/>
        </w:rPr>
      </w:pPr>
      <w:r>
        <w:rPr>
          <w:rFonts w:ascii="Times New Roman" w:cs="Times New Roman" w:eastAsia="Times New Roman" w:hAnsi="Times New Roman"/>
          <w:sz w:val="22"/>
          <w:szCs w:val="22"/>
          <w:color w:val="auto"/>
        </w:rPr>
        <w:t>Company performance is measured by Net Revenue, Operating Profit Margin and Free Cash Flow. Company performance is determined by individually assessing performance against goals for each metric, applying the performance scale, weighting each metric and summing the total.</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38" w:right="33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weightings and definitions of the Company metrics are:</w:t>
      </w:r>
    </w:p>
    <w:p>
      <w:pPr>
        <w:spacing w:after="0" w:line="254" w:lineRule="exact"/>
        <w:rPr>
          <w:sz w:val="20"/>
          <w:szCs w:val="20"/>
          <w:color w:val="auto"/>
        </w:rPr>
      </w:pPr>
    </w:p>
    <w:tbl>
      <w:tblPr>
        <w:tblLayout w:type="fixed"/>
        <w:tblInd w:w="810" w:type="dxa"/>
        <w:tblCellMar>
          <w:top w:w="0" w:type="dxa"/>
          <w:left w:w="0" w:type="dxa"/>
          <w:bottom w:w="0" w:type="dxa"/>
          <w:right w:w="0" w:type="dxa"/>
        </w:tblCellMar>
      </w:tblPr>
      <w:tr>
        <w:trPr>
          <w:trHeight w:val="243"/>
        </w:trPr>
        <w:tc>
          <w:tcPr>
            <w:tcW w:w="2720" w:type="dxa"/>
            <w:vAlign w:val="bottom"/>
            <w:tcBorders>
              <w:top w:val="single" w:sz="8" w:color="auto"/>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4760" w:type="dxa"/>
            <w:vAlign w:val="bottom"/>
            <w:tcBorders>
              <w:top w:val="single" w:sz="8" w:color="auto"/>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2200" w:type="dxa"/>
            <w:vAlign w:val="bottom"/>
            <w:tcBorders>
              <w:top w:val="single" w:sz="8" w:color="auto"/>
              <w:bottom w:val="single" w:sz="8" w:color="auto"/>
              <w:right w:val="single" w:sz="8" w:color="auto"/>
            </w:tcBorders>
          </w:tcPr>
          <w:p>
            <w:pPr>
              <w:jc w:val="right"/>
              <w:ind w:right="637"/>
              <w:spacing w:after="0"/>
              <w:rPr>
                <w:sz w:val="20"/>
                <w:szCs w:val="20"/>
                <w:color w:val="auto"/>
              </w:rPr>
            </w:pPr>
            <w:r>
              <w:rPr>
                <w:rFonts w:ascii="Times New Roman" w:cs="Times New Roman" w:eastAsia="Times New Roman" w:hAnsi="Times New Roman"/>
                <w:sz w:val="18"/>
                <w:szCs w:val="18"/>
                <w:b w:val="1"/>
                <w:bCs w:val="1"/>
                <w:color w:val="auto"/>
              </w:rPr>
              <w:t>Weighting</w:t>
            </w:r>
          </w:p>
        </w:tc>
      </w:tr>
      <w:tr>
        <w:trPr>
          <w:trHeight w:val="169"/>
        </w:trPr>
        <w:tc>
          <w:tcPr>
            <w:tcW w:w="27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Net Revenue</w:t>
            </w:r>
          </w:p>
        </w:tc>
        <w:tc>
          <w:tcPr>
            <w:tcW w:w="476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Third Party Gross Sales (after returns) less Sales Allowances</w:t>
            </w:r>
          </w:p>
        </w:tc>
        <w:tc>
          <w:tcPr>
            <w:tcW w:w="2200" w:type="dxa"/>
            <w:vAlign w:val="bottom"/>
            <w:tcBorders>
              <w:right w:val="single" w:sz="8" w:color="auto"/>
            </w:tcBorders>
          </w:tcPr>
          <w:p>
            <w:pPr>
              <w:jc w:val="right"/>
              <w:ind w:right="1757"/>
              <w:spacing w:after="0" w:line="169" w:lineRule="exact"/>
              <w:rPr>
                <w:sz w:val="20"/>
                <w:szCs w:val="20"/>
                <w:color w:val="auto"/>
              </w:rPr>
            </w:pPr>
            <w:r>
              <w:rPr>
                <w:rFonts w:ascii="Times New Roman" w:cs="Times New Roman" w:eastAsia="Times New Roman" w:hAnsi="Times New Roman"/>
                <w:sz w:val="16"/>
                <w:szCs w:val="16"/>
                <w:color w:val="auto"/>
              </w:rPr>
              <w:t>40%</w:t>
            </w:r>
          </w:p>
        </w:tc>
      </w:tr>
      <w:tr>
        <w:trPr>
          <w:trHeight w:val="175"/>
        </w:trPr>
        <w:tc>
          <w:tcPr>
            <w:tcW w:w="2720" w:type="dxa"/>
            <w:vAlign w:val="bottom"/>
            <w:tcBorders>
              <w:left w:val="single" w:sz="8" w:color="auto"/>
              <w:right w:val="single" w:sz="8" w:color="auto"/>
            </w:tcBorders>
          </w:tcPr>
          <w:p>
            <w:pPr>
              <w:spacing w:after="0"/>
              <w:rPr>
                <w:sz w:val="15"/>
                <w:szCs w:val="15"/>
                <w:color w:val="auto"/>
              </w:rPr>
            </w:pPr>
          </w:p>
        </w:tc>
        <w:tc>
          <w:tcPr>
            <w:tcW w:w="476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plus Third Party Royalty Income, Digital Gaming Revenue,</w:t>
            </w:r>
          </w:p>
        </w:tc>
        <w:tc>
          <w:tcPr>
            <w:tcW w:w="2200" w:type="dxa"/>
            <w:vAlign w:val="bottom"/>
            <w:tcBorders>
              <w:right w:val="single" w:sz="8" w:color="auto"/>
            </w:tcBorders>
          </w:tcPr>
          <w:p>
            <w:pPr>
              <w:spacing w:after="0"/>
              <w:rPr>
                <w:sz w:val="15"/>
                <w:szCs w:val="15"/>
                <w:color w:val="auto"/>
              </w:rPr>
            </w:pPr>
          </w:p>
        </w:tc>
      </w:tr>
      <w:tr>
        <w:trPr>
          <w:trHeight w:val="184"/>
        </w:trPr>
        <w:tc>
          <w:tcPr>
            <w:tcW w:w="2720" w:type="dxa"/>
            <w:vAlign w:val="bottom"/>
            <w:tcBorders>
              <w:left w:val="single" w:sz="8" w:color="auto"/>
              <w:right w:val="single" w:sz="8" w:color="auto"/>
            </w:tcBorders>
          </w:tcPr>
          <w:p>
            <w:pPr>
              <w:spacing w:after="0"/>
              <w:rPr>
                <w:sz w:val="16"/>
                <w:szCs w:val="16"/>
                <w:color w:val="auto"/>
              </w:rPr>
            </w:pPr>
          </w:p>
        </w:tc>
        <w:tc>
          <w:tcPr>
            <w:tcW w:w="4760" w:type="dxa"/>
            <w:vAlign w:val="bottom"/>
            <w:tcBorders>
              <w:right w:val="single" w:sz="8" w:color="auto"/>
            </w:tcBorders>
          </w:tcPr>
          <w:p>
            <w:pPr>
              <w:ind w:left="60"/>
              <w:spacing w:after="0" w:line="184" w:lineRule="exact"/>
              <w:rPr>
                <w:sz w:val="20"/>
                <w:szCs w:val="20"/>
                <w:color w:val="auto"/>
              </w:rPr>
            </w:pPr>
            <w:r>
              <w:rPr>
                <w:rFonts w:ascii="Times New Roman" w:cs="Times New Roman" w:eastAsia="Times New Roman" w:hAnsi="Times New Roman"/>
                <w:sz w:val="18"/>
                <w:szCs w:val="18"/>
                <w:color w:val="auto"/>
              </w:rPr>
              <w:t>Film &amp; TV Programming and Production &amp; Distribution</w:t>
            </w:r>
          </w:p>
        </w:tc>
        <w:tc>
          <w:tcPr>
            <w:tcW w:w="2200" w:type="dxa"/>
            <w:vAlign w:val="bottom"/>
            <w:tcBorders>
              <w:right w:val="single" w:sz="8" w:color="auto"/>
            </w:tcBorders>
          </w:tcPr>
          <w:p>
            <w:pPr>
              <w:spacing w:after="0"/>
              <w:rPr>
                <w:sz w:val="16"/>
                <w:szCs w:val="16"/>
                <w:color w:val="auto"/>
              </w:rPr>
            </w:pPr>
          </w:p>
        </w:tc>
      </w:tr>
      <w:tr>
        <w:trPr>
          <w:trHeight w:val="234"/>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200" w:type="dxa"/>
            <w:vAlign w:val="bottom"/>
            <w:tcBorders>
              <w:bottom w:val="single" w:sz="8" w:color="auto"/>
              <w:right w:val="single" w:sz="8" w:color="auto"/>
            </w:tcBorders>
          </w:tcPr>
          <w:p>
            <w:pPr>
              <w:spacing w:after="0"/>
              <w:rPr>
                <w:sz w:val="20"/>
                <w:szCs w:val="20"/>
                <w:color w:val="auto"/>
              </w:rPr>
            </w:pPr>
          </w:p>
        </w:tc>
      </w:tr>
      <w:tr>
        <w:trPr>
          <w:trHeight w:val="223"/>
        </w:trPr>
        <w:tc>
          <w:tcPr>
            <w:tcW w:w="2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Operating Profit Margin</w:t>
            </w:r>
          </w:p>
        </w:tc>
        <w:tc>
          <w:tcPr>
            <w:tcW w:w="4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Operating Profit divided by Net Revenues</w:t>
            </w:r>
          </w:p>
        </w:tc>
        <w:tc>
          <w:tcPr>
            <w:tcW w:w="2200" w:type="dxa"/>
            <w:vAlign w:val="bottom"/>
            <w:tcBorders>
              <w:bottom w:val="single" w:sz="8" w:color="auto"/>
              <w:right w:val="single" w:sz="8" w:color="auto"/>
            </w:tcBorders>
          </w:tcPr>
          <w:p>
            <w:pPr>
              <w:jc w:val="right"/>
              <w:ind w:right="1757"/>
              <w:spacing w:after="0"/>
              <w:rPr>
                <w:sz w:val="20"/>
                <w:szCs w:val="20"/>
                <w:color w:val="auto"/>
              </w:rPr>
            </w:pPr>
            <w:r>
              <w:rPr>
                <w:rFonts w:ascii="Times New Roman" w:cs="Times New Roman" w:eastAsia="Times New Roman" w:hAnsi="Times New Roman"/>
                <w:sz w:val="16"/>
                <w:szCs w:val="16"/>
                <w:color w:val="auto"/>
              </w:rPr>
              <w:t>40%</w:t>
            </w:r>
          </w:p>
        </w:tc>
      </w:tr>
      <w:tr>
        <w:trPr>
          <w:trHeight w:val="169"/>
        </w:trPr>
        <w:tc>
          <w:tcPr>
            <w:tcW w:w="27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Free Cash Flow</w:t>
            </w:r>
          </w:p>
        </w:tc>
        <w:tc>
          <w:tcPr>
            <w:tcW w:w="476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Net cash provided by operating activities less Capital</w:t>
            </w:r>
          </w:p>
        </w:tc>
        <w:tc>
          <w:tcPr>
            <w:tcW w:w="2200" w:type="dxa"/>
            <w:vAlign w:val="bottom"/>
            <w:tcBorders>
              <w:right w:val="single" w:sz="8" w:color="auto"/>
            </w:tcBorders>
          </w:tcPr>
          <w:p>
            <w:pPr>
              <w:jc w:val="right"/>
              <w:ind w:right="1757"/>
              <w:spacing w:after="0" w:line="169" w:lineRule="exact"/>
              <w:rPr>
                <w:sz w:val="20"/>
                <w:szCs w:val="20"/>
                <w:color w:val="auto"/>
              </w:rPr>
            </w:pPr>
            <w:r>
              <w:rPr>
                <w:rFonts w:ascii="Times New Roman" w:cs="Times New Roman" w:eastAsia="Times New Roman" w:hAnsi="Times New Roman"/>
                <w:sz w:val="16"/>
                <w:szCs w:val="16"/>
                <w:color w:val="auto"/>
              </w:rPr>
              <w:t>20%</w:t>
            </w:r>
          </w:p>
        </w:tc>
      </w:tr>
      <w:tr>
        <w:trPr>
          <w:trHeight w:val="239"/>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Expenditures</w:t>
            </w:r>
          </w:p>
        </w:tc>
        <w:tc>
          <w:tcPr>
            <w:tcW w:w="2200" w:type="dxa"/>
            <w:vAlign w:val="bottom"/>
            <w:tcBorders>
              <w:bottom w:val="single" w:sz="8" w:color="auto"/>
              <w:right w:val="single" w:sz="8" w:color="auto"/>
            </w:tcBorders>
          </w:tcPr>
          <w:p>
            <w:pPr>
              <w:spacing w:after="0"/>
              <w:rPr>
                <w:sz w:val="20"/>
                <w:szCs w:val="20"/>
                <w:color w:val="auto"/>
              </w:rPr>
            </w:pPr>
          </w:p>
        </w:tc>
      </w:tr>
    </w:tbl>
    <w:p>
      <w:pPr>
        <w:spacing w:after="0" w:line="270"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Business Area Performance Metrics</w:t>
      </w:r>
    </w:p>
    <w:p>
      <w:pPr>
        <w:ind w:left="1300"/>
        <w:spacing w:after="0" w:line="218" w:lineRule="auto"/>
        <w:rPr>
          <w:sz w:val="20"/>
          <w:szCs w:val="20"/>
          <w:color w:val="auto"/>
        </w:rPr>
      </w:pPr>
      <w:r>
        <w:rPr>
          <w:rFonts w:ascii="Times New Roman" w:cs="Times New Roman" w:eastAsia="Times New Roman" w:hAnsi="Times New Roman"/>
          <w:sz w:val="22"/>
          <w:szCs w:val="22"/>
          <w:color w:val="auto"/>
        </w:rPr>
        <w:t>Each Business Area will assess performance based on Net Revenue and Operating Profit Margin specific to the respective Business Area. Business Area performance is determined by individually assessing performance against goals for each metric, applying the performance scale, weighting each metric and summing the total.</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weightings and definitions for the metrics for each Business Area Plan are:</w:t>
      </w:r>
    </w:p>
    <w:p>
      <w:pPr>
        <w:spacing w:after="0" w:line="254" w:lineRule="exact"/>
        <w:rPr>
          <w:sz w:val="20"/>
          <w:szCs w:val="20"/>
          <w:color w:val="auto"/>
        </w:rPr>
      </w:pPr>
    </w:p>
    <w:tbl>
      <w:tblPr>
        <w:tblLayout w:type="fixed"/>
        <w:tblInd w:w="1730" w:type="dxa"/>
        <w:tblCellMar>
          <w:top w:w="0" w:type="dxa"/>
          <w:left w:w="0" w:type="dxa"/>
          <w:bottom w:w="0" w:type="dxa"/>
          <w:right w:w="0" w:type="dxa"/>
        </w:tblCellMar>
      </w:tblPr>
      <w:tr>
        <w:trPr>
          <w:trHeight w:val="243"/>
        </w:trPr>
        <w:tc>
          <w:tcPr>
            <w:tcW w:w="2340" w:type="dxa"/>
            <w:vAlign w:val="bottom"/>
            <w:tcBorders>
              <w:top w:val="single" w:sz="8" w:color="auto"/>
              <w:left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3780" w:type="dxa"/>
            <w:vAlign w:val="bottom"/>
            <w:tcBorders>
              <w:top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720" w:type="dxa"/>
            <w:vAlign w:val="bottom"/>
            <w:tcBorders>
              <w:top w:val="single" w:sz="8" w:color="auto"/>
              <w:bottom w:val="single" w:sz="8" w:color="auto"/>
              <w:right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0" w:type="dxa"/>
            <w:vAlign w:val="bottom"/>
          </w:tcPr>
          <w:p>
            <w:pPr>
              <w:spacing w:after="0"/>
              <w:rPr>
                <w:sz w:val="1"/>
                <w:szCs w:val="1"/>
                <w:color w:val="auto"/>
              </w:rPr>
            </w:pPr>
          </w:p>
        </w:tc>
      </w:tr>
      <w:tr>
        <w:trPr>
          <w:trHeight w:val="178"/>
        </w:trPr>
        <w:tc>
          <w:tcPr>
            <w:tcW w:w="234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Business Area Net Revenue</w:t>
            </w:r>
          </w:p>
        </w:tc>
        <w:tc>
          <w:tcPr>
            <w:tcW w:w="378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As applicable for the respective Business Area:</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4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8"/>
                <w:szCs w:val="18"/>
                <w:color w:val="auto"/>
              </w:rPr>
              <w:t>Third Party Gross Sales (after returns) less Sales</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4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Allowances plus Third Party Royalty Income,</w:t>
            </w:r>
          </w:p>
        </w:tc>
        <w:tc>
          <w:tcPr>
            <w:tcW w:w="1720" w:type="dxa"/>
            <w:vAlign w:val="bottom"/>
            <w:tcBorders>
              <w:right w:val="single" w:sz="8" w:color="auto"/>
            </w:tcBorders>
            <w:vMerge w:val="restart"/>
          </w:tcPr>
          <w:p>
            <w:pPr>
              <w:jc w:val="right"/>
              <w:ind w:right="1276"/>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29"/>
        </w:trPr>
        <w:tc>
          <w:tcPr>
            <w:tcW w:w="2340" w:type="dxa"/>
            <w:vAlign w:val="bottom"/>
            <w:tcBorders>
              <w:left w:val="single" w:sz="8" w:color="auto"/>
              <w:right w:val="single" w:sz="8" w:color="auto"/>
            </w:tcBorders>
          </w:tcPr>
          <w:p>
            <w:pPr>
              <w:spacing w:after="0"/>
              <w:rPr>
                <w:sz w:val="11"/>
                <w:szCs w:val="11"/>
                <w:color w:val="auto"/>
              </w:rPr>
            </w:pPr>
          </w:p>
        </w:tc>
        <w:tc>
          <w:tcPr>
            <w:tcW w:w="3780" w:type="dxa"/>
            <w:vAlign w:val="bottom"/>
            <w:tcBorders>
              <w:right w:val="single" w:sz="8" w:color="auto"/>
            </w:tcBorders>
            <w:vMerge w:val="restart"/>
          </w:tcPr>
          <w:p>
            <w:pPr>
              <w:ind w:left="60"/>
              <w:spacing w:after="0" w:line="184" w:lineRule="exact"/>
              <w:rPr>
                <w:sz w:val="20"/>
                <w:szCs w:val="20"/>
                <w:color w:val="auto"/>
              </w:rPr>
            </w:pPr>
            <w:r>
              <w:rPr>
                <w:rFonts w:ascii="Times New Roman" w:cs="Times New Roman" w:eastAsia="Times New Roman" w:hAnsi="Times New Roman"/>
                <w:sz w:val="18"/>
                <w:szCs w:val="18"/>
                <w:color w:val="auto"/>
              </w:rPr>
              <w:t>Digital Gaming Revenue and Film &amp; TV</w:t>
            </w:r>
          </w:p>
        </w:tc>
        <w:tc>
          <w:tcPr>
            <w:tcW w:w="1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340" w:type="dxa"/>
            <w:vAlign w:val="bottom"/>
            <w:tcBorders>
              <w:left w:val="single" w:sz="8" w:color="auto"/>
              <w:right w:val="single" w:sz="8" w:color="auto"/>
            </w:tcBorders>
          </w:tcPr>
          <w:p>
            <w:pPr>
              <w:spacing w:after="0"/>
              <w:rPr>
                <w:sz w:val="4"/>
                <w:szCs w:val="4"/>
                <w:color w:val="auto"/>
              </w:rPr>
            </w:pPr>
          </w:p>
        </w:tc>
        <w:tc>
          <w:tcPr>
            <w:tcW w:w="378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340" w:type="dxa"/>
            <w:vAlign w:val="bottom"/>
            <w:tcBorders>
              <w:left w:val="single" w:sz="8" w:color="auto"/>
              <w:right w:val="single" w:sz="8" w:color="auto"/>
            </w:tcBorders>
          </w:tcPr>
          <w:p>
            <w:pPr>
              <w:spacing w:after="0"/>
              <w:rPr>
                <w:sz w:val="15"/>
                <w:szCs w:val="15"/>
                <w:color w:val="auto"/>
              </w:rPr>
            </w:pPr>
          </w:p>
        </w:tc>
        <w:tc>
          <w:tcPr>
            <w:tcW w:w="378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8"/>
                <w:szCs w:val="18"/>
                <w:color w:val="auto"/>
              </w:rPr>
              <w:t>Programming Production and Distribution</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34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Business Area Operating</w:t>
            </w:r>
          </w:p>
        </w:tc>
        <w:tc>
          <w:tcPr>
            <w:tcW w:w="378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Operating Profit divided by Net Revenues</w:t>
            </w:r>
          </w:p>
        </w:tc>
        <w:tc>
          <w:tcPr>
            <w:tcW w:w="1720" w:type="dxa"/>
            <w:vAlign w:val="bottom"/>
            <w:tcBorders>
              <w:right w:val="single" w:sz="8" w:color="auto"/>
            </w:tcBorders>
            <w:vMerge w:val="restart"/>
          </w:tcPr>
          <w:p>
            <w:pPr>
              <w:jc w:val="right"/>
              <w:ind w:right="1276"/>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20"/>
        </w:trPr>
        <w:tc>
          <w:tcPr>
            <w:tcW w:w="23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Profit Margin</w:t>
            </w:r>
          </w:p>
        </w:tc>
        <w:tc>
          <w:tcPr>
            <w:tcW w:w="378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3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4.0</w:t>
      </w:r>
      <w:r>
        <w:rPr>
          <w:sz w:val="20"/>
          <w:szCs w:val="20"/>
          <w:color w:val="auto"/>
        </w:rPr>
        <w:tab/>
      </w:r>
      <w:r>
        <w:rPr>
          <w:rFonts w:ascii="Times New Roman" w:cs="Times New Roman" w:eastAsia="Times New Roman" w:hAnsi="Times New Roman"/>
          <w:sz w:val="21"/>
          <w:szCs w:val="21"/>
          <w:u w:val="single" w:color="auto"/>
          <w:color w:val="auto"/>
        </w:rPr>
        <w:t>Development of Funding Pools</w:t>
      </w:r>
    </w:p>
    <w:p>
      <w:pPr>
        <w:ind w:left="660" w:right="20"/>
        <w:spacing w:after="0" w:line="218" w:lineRule="auto"/>
        <w:rPr>
          <w:sz w:val="20"/>
          <w:szCs w:val="20"/>
          <w:color w:val="auto"/>
        </w:rPr>
      </w:pPr>
      <w:r>
        <w:rPr>
          <w:rFonts w:ascii="Times New Roman" w:cs="Times New Roman" w:eastAsia="Times New Roman" w:hAnsi="Times New Roman"/>
          <w:sz w:val="22"/>
          <w:szCs w:val="22"/>
          <w:color w:val="auto"/>
        </w:rPr>
        <w:t>After the end of the fiscal year, the actual performance for the Company and each of the Business Areas will be calculated (based on the Company’s and the respective Business Area’s performance against the target goals established for each performance metric as of fiscal year-end) and approved by the Company’s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performance scales for the metrics for the Corporate Plan and Business Area Plans, as applicable, are as follows: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Revenue Performance Scale:</w:t>
            </w:r>
          </w:p>
        </w:tc>
        <w:tc>
          <w:tcPr>
            <w:tcW w:w="16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Funding Pool Scale %</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color w:val="auto"/>
              </w:rPr>
              <w:t>Performance % of Target</w:t>
            </w:r>
          </w:p>
        </w:tc>
        <w:tc>
          <w:tcPr>
            <w:tcW w:w="166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40"/>
              <w:spacing w:after="0" w:line="162" w:lineRule="exact"/>
              <w:rPr>
                <w:sz w:val="20"/>
                <w:szCs w:val="20"/>
                <w:color w:val="auto"/>
              </w:rPr>
            </w:pPr>
            <w:r>
              <w:rPr>
                <w:rFonts w:ascii="Times New Roman" w:cs="Times New Roman" w:eastAsia="Times New Roman" w:hAnsi="Times New Roman"/>
                <w:sz w:val="16"/>
                <w:szCs w:val="16"/>
                <w:color w:val="auto"/>
              </w:rPr>
              <w:t>&lt; 85%</w:t>
            </w:r>
          </w:p>
        </w:tc>
        <w:tc>
          <w:tcPr>
            <w:tcW w:w="166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0%</w:t>
            </w: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Threshold performance</w:t>
            </w:r>
          </w:p>
        </w:tc>
        <w:tc>
          <w:tcPr>
            <w:tcW w:w="0" w:type="dxa"/>
            <w:vAlign w:val="bottom"/>
          </w:tcPr>
          <w:p>
            <w:pPr>
              <w:spacing w:after="0"/>
              <w:rPr>
                <w:sz w:val="1"/>
                <w:szCs w:val="1"/>
                <w:color w:val="auto"/>
              </w:rPr>
            </w:pPr>
          </w:p>
        </w:tc>
      </w:tr>
      <w:tr>
        <w:trPr>
          <w:trHeight w:val="162"/>
        </w:trPr>
        <w:tc>
          <w:tcPr>
            <w:tcW w:w="2060" w:type="dxa"/>
            <w:vAlign w:val="bottom"/>
          </w:tcPr>
          <w:p>
            <w:pPr>
              <w:ind w:left="640"/>
              <w:spacing w:after="0" w:line="162" w:lineRule="exact"/>
              <w:rPr>
                <w:sz w:val="20"/>
                <w:szCs w:val="20"/>
                <w:color w:val="auto"/>
              </w:rPr>
            </w:pPr>
            <w:r>
              <w:rPr>
                <w:rFonts w:ascii="Times New Roman" w:cs="Times New Roman" w:eastAsia="Times New Roman" w:hAnsi="Times New Roman"/>
                <w:sz w:val="16"/>
                <w:szCs w:val="16"/>
                <w:color w:val="auto"/>
              </w:rPr>
              <w:t>85%</w:t>
            </w:r>
          </w:p>
        </w:tc>
        <w:tc>
          <w:tcPr>
            <w:tcW w:w="166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color w:val="auto"/>
              </w:rPr>
              <w:t>50%</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40"/>
              <w:spacing w:after="0" w:line="162" w:lineRule="exact"/>
              <w:rPr>
                <w:sz w:val="20"/>
                <w:szCs w:val="20"/>
                <w:color w:val="auto"/>
              </w:rPr>
            </w:pPr>
            <w:r>
              <w:rPr>
                <w:rFonts w:ascii="Times New Roman" w:cs="Times New Roman" w:eastAsia="Times New Roman" w:hAnsi="Times New Roman"/>
                <w:sz w:val="16"/>
                <w:szCs w:val="16"/>
                <w:color w:val="auto"/>
              </w:rPr>
              <w:t>100%</w:t>
            </w:r>
          </w:p>
        </w:tc>
        <w:tc>
          <w:tcPr>
            <w:tcW w:w="166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color w:val="auto"/>
              </w:rPr>
              <w:t>100%</w:t>
            </w:r>
          </w:p>
        </w:tc>
        <w:tc>
          <w:tcPr>
            <w:tcW w:w="1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Target performance</w:t>
            </w:r>
          </w:p>
        </w:tc>
        <w:tc>
          <w:tcPr>
            <w:tcW w:w="0" w:type="dxa"/>
            <w:vAlign w:val="bottom"/>
          </w:tcPr>
          <w:p>
            <w:pPr>
              <w:spacing w:after="0"/>
              <w:rPr>
                <w:sz w:val="1"/>
                <w:szCs w:val="1"/>
                <w:color w:val="auto"/>
              </w:rPr>
            </w:pPr>
          </w:p>
        </w:tc>
      </w:tr>
      <w:tr>
        <w:trPr>
          <w:trHeight w:val="210"/>
        </w:trPr>
        <w:tc>
          <w:tcPr>
            <w:tcW w:w="20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≥115%</w:t>
            </w:r>
          </w:p>
        </w:tc>
        <w:tc>
          <w:tcPr>
            <w:tcW w:w="166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200%</w:t>
            </w:r>
          </w:p>
        </w:tc>
        <w:tc>
          <w:tcPr>
            <w:tcW w:w="1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Maximum performance</w:t>
            </w:r>
          </w:p>
        </w:tc>
        <w:tc>
          <w:tcPr>
            <w:tcW w:w="0" w:type="dxa"/>
            <w:vAlign w:val="bottom"/>
          </w:tcPr>
          <w:p>
            <w:pPr>
              <w:spacing w:after="0"/>
              <w:rPr>
                <w:sz w:val="1"/>
                <w:szCs w:val="1"/>
                <w:color w:val="auto"/>
              </w:rPr>
            </w:pPr>
          </w:p>
        </w:tc>
      </w:tr>
      <w:tr>
        <w:trPr>
          <w:trHeight w:val="276"/>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Profit Margin Performance Scale:</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400"/>
              <w:spacing w:after="0" w:line="162" w:lineRule="exact"/>
              <w:rPr>
                <w:sz w:val="20"/>
                <w:szCs w:val="20"/>
                <w:color w:val="auto"/>
              </w:rPr>
            </w:pPr>
            <w:r>
              <w:rPr>
                <w:rFonts w:ascii="Times New Roman" w:cs="Times New Roman" w:eastAsia="Times New Roman" w:hAnsi="Times New Roman"/>
                <w:sz w:val="16"/>
                <w:szCs w:val="16"/>
                <w:color w:val="auto"/>
              </w:rPr>
              <w:t>Performance % of Target</w:t>
            </w:r>
          </w:p>
        </w:tc>
        <w:tc>
          <w:tcPr>
            <w:tcW w:w="1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Funding Pool Scale %</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40"/>
              <w:spacing w:after="0" w:line="162" w:lineRule="exact"/>
              <w:rPr>
                <w:sz w:val="20"/>
                <w:szCs w:val="20"/>
                <w:color w:val="auto"/>
              </w:rPr>
            </w:pPr>
            <w:r>
              <w:rPr>
                <w:rFonts w:ascii="Times New Roman" w:cs="Times New Roman" w:eastAsia="Times New Roman" w:hAnsi="Times New Roman"/>
                <w:sz w:val="16"/>
                <w:szCs w:val="16"/>
                <w:color w:val="auto"/>
              </w:rPr>
              <w:t>&lt; 80%</w:t>
            </w:r>
          </w:p>
        </w:tc>
        <w:tc>
          <w:tcPr>
            <w:tcW w:w="166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0%</w:t>
            </w: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Threshold performance</w:t>
            </w:r>
          </w:p>
        </w:tc>
        <w:tc>
          <w:tcPr>
            <w:tcW w:w="0" w:type="dxa"/>
            <w:vAlign w:val="bottom"/>
          </w:tcPr>
          <w:p>
            <w:pPr>
              <w:spacing w:after="0"/>
              <w:rPr>
                <w:sz w:val="1"/>
                <w:szCs w:val="1"/>
                <w:color w:val="auto"/>
              </w:rPr>
            </w:pPr>
          </w:p>
        </w:tc>
      </w:tr>
      <w:tr>
        <w:trPr>
          <w:trHeight w:val="162"/>
        </w:trPr>
        <w:tc>
          <w:tcPr>
            <w:tcW w:w="2060" w:type="dxa"/>
            <w:vAlign w:val="bottom"/>
          </w:tcPr>
          <w:p>
            <w:pPr>
              <w:ind w:left="640"/>
              <w:spacing w:after="0" w:line="162" w:lineRule="exact"/>
              <w:rPr>
                <w:sz w:val="20"/>
                <w:szCs w:val="20"/>
                <w:color w:val="auto"/>
              </w:rPr>
            </w:pPr>
            <w:r>
              <w:rPr>
                <w:rFonts w:ascii="Times New Roman" w:cs="Times New Roman" w:eastAsia="Times New Roman" w:hAnsi="Times New Roman"/>
                <w:sz w:val="16"/>
                <w:szCs w:val="16"/>
                <w:color w:val="auto"/>
              </w:rPr>
              <w:t>80%</w:t>
            </w:r>
          </w:p>
        </w:tc>
        <w:tc>
          <w:tcPr>
            <w:tcW w:w="166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color w:val="auto"/>
              </w:rPr>
              <w:t>50%</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40"/>
              <w:spacing w:after="0" w:line="162" w:lineRule="exact"/>
              <w:rPr>
                <w:sz w:val="20"/>
                <w:szCs w:val="20"/>
                <w:color w:val="auto"/>
              </w:rPr>
            </w:pPr>
            <w:r>
              <w:rPr>
                <w:rFonts w:ascii="Times New Roman" w:cs="Times New Roman" w:eastAsia="Times New Roman" w:hAnsi="Times New Roman"/>
                <w:sz w:val="16"/>
                <w:szCs w:val="16"/>
                <w:color w:val="auto"/>
              </w:rPr>
              <w:t>100%</w:t>
            </w:r>
          </w:p>
        </w:tc>
        <w:tc>
          <w:tcPr>
            <w:tcW w:w="166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color w:val="auto"/>
              </w:rPr>
              <w:t>100%</w:t>
            </w:r>
          </w:p>
        </w:tc>
        <w:tc>
          <w:tcPr>
            <w:tcW w:w="1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Target performance</w:t>
            </w:r>
          </w:p>
        </w:tc>
        <w:tc>
          <w:tcPr>
            <w:tcW w:w="0" w:type="dxa"/>
            <w:vAlign w:val="bottom"/>
          </w:tcPr>
          <w:p>
            <w:pPr>
              <w:spacing w:after="0"/>
              <w:rPr>
                <w:sz w:val="1"/>
                <w:szCs w:val="1"/>
                <w:color w:val="auto"/>
              </w:rPr>
            </w:pPr>
          </w:p>
        </w:tc>
      </w:tr>
      <w:tr>
        <w:trPr>
          <w:trHeight w:val="210"/>
        </w:trPr>
        <w:tc>
          <w:tcPr>
            <w:tcW w:w="20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≥125%</w:t>
            </w:r>
          </w:p>
        </w:tc>
        <w:tc>
          <w:tcPr>
            <w:tcW w:w="16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200%</w:t>
            </w:r>
          </w:p>
        </w:tc>
        <w:tc>
          <w:tcPr>
            <w:tcW w:w="1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Maximum performance</w:t>
            </w:r>
          </w:p>
        </w:tc>
        <w:tc>
          <w:tcPr>
            <w:tcW w:w="0" w:type="dxa"/>
            <w:vAlign w:val="bottom"/>
          </w:tcPr>
          <w:p>
            <w:pPr>
              <w:spacing w:after="0"/>
              <w:rPr>
                <w:sz w:val="1"/>
                <w:szCs w:val="1"/>
                <w:color w:val="auto"/>
              </w:rPr>
            </w:pPr>
          </w:p>
        </w:tc>
      </w:tr>
      <w:tr>
        <w:trPr>
          <w:trHeight w:val="357"/>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Free Cash Flow Performance Scale:</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color w:val="auto"/>
              </w:rPr>
              <w:t>Performance % of Target</w:t>
            </w:r>
          </w:p>
        </w:tc>
        <w:tc>
          <w:tcPr>
            <w:tcW w:w="16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Funding Pool Scale %</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40"/>
              <w:spacing w:after="0" w:line="162" w:lineRule="exact"/>
              <w:rPr>
                <w:sz w:val="20"/>
                <w:szCs w:val="20"/>
                <w:color w:val="auto"/>
              </w:rPr>
            </w:pPr>
            <w:r>
              <w:rPr>
                <w:rFonts w:ascii="Times New Roman" w:cs="Times New Roman" w:eastAsia="Times New Roman" w:hAnsi="Times New Roman"/>
                <w:sz w:val="16"/>
                <w:szCs w:val="16"/>
                <w:color w:val="auto"/>
              </w:rPr>
              <w:t>&lt; 80%</w:t>
            </w:r>
          </w:p>
        </w:tc>
        <w:tc>
          <w:tcPr>
            <w:tcW w:w="166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0%</w:t>
            </w: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Threshold performance</w:t>
            </w:r>
          </w:p>
        </w:tc>
        <w:tc>
          <w:tcPr>
            <w:tcW w:w="0" w:type="dxa"/>
            <w:vAlign w:val="bottom"/>
          </w:tcPr>
          <w:p>
            <w:pPr>
              <w:spacing w:after="0"/>
              <w:rPr>
                <w:sz w:val="1"/>
                <w:szCs w:val="1"/>
                <w:color w:val="auto"/>
              </w:rPr>
            </w:pPr>
          </w:p>
        </w:tc>
      </w:tr>
      <w:tr>
        <w:trPr>
          <w:trHeight w:val="162"/>
        </w:trPr>
        <w:tc>
          <w:tcPr>
            <w:tcW w:w="2060" w:type="dxa"/>
            <w:vAlign w:val="bottom"/>
          </w:tcPr>
          <w:p>
            <w:pPr>
              <w:ind w:left="640"/>
              <w:spacing w:after="0" w:line="162" w:lineRule="exact"/>
              <w:rPr>
                <w:sz w:val="20"/>
                <w:szCs w:val="20"/>
                <w:color w:val="auto"/>
              </w:rPr>
            </w:pPr>
            <w:r>
              <w:rPr>
                <w:rFonts w:ascii="Times New Roman" w:cs="Times New Roman" w:eastAsia="Times New Roman" w:hAnsi="Times New Roman"/>
                <w:sz w:val="16"/>
                <w:szCs w:val="16"/>
                <w:color w:val="auto"/>
              </w:rPr>
              <w:t>80%</w:t>
            </w:r>
          </w:p>
        </w:tc>
        <w:tc>
          <w:tcPr>
            <w:tcW w:w="166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color w:val="auto"/>
              </w:rPr>
              <w:t>50%</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40"/>
              <w:spacing w:after="0" w:line="162" w:lineRule="exact"/>
              <w:rPr>
                <w:sz w:val="20"/>
                <w:szCs w:val="20"/>
                <w:color w:val="auto"/>
              </w:rPr>
            </w:pPr>
            <w:r>
              <w:rPr>
                <w:rFonts w:ascii="Times New Roman" w:cs="Times New Roman" w:eastAsia="Times New Roman" w:hAnsi="Times New Roman"/>
                <w:sz w:val="16"/>
                <w:szCs w:val="16"/>
                <w:color w:val="auto"/>
              </w:rPr>
              <w:t>100%</w:t>
            </w:r>
          </w:p>
        </w:tc>
        <w:tc>
          <w:tcPr>
            <w:tcW w:w="166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color w:val="auto"/>
              </w:rPr>
              <w:t>100%</w:t>
            </w:r>
          </w:p>
        </w:tc>
        <w:tc>
          <w:tcPr>
            <w:tcW w:w="1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Target performance</w:t>
            </w:r>
          </w:p>
        </w:tc>
        <w:tc>
          <w:tcPr>
            <w:tcW w:w="0" w:type="dxa"/>
            <w:vAlign w:val="bottom"/>
          </w:tcPr>
          <w:p>
            <w:pPr>
              <w:spacing w:after="0"/>
              <w:rPr>
                <w:sz w:val="1"/>
                <w:szCs w:val="1"/>
                <w:color w:val="auto"/>
              </w:rPr>
            </w:pPr>
          </w:p>
        </w:tc>
      </w:tr>
      <w:tr>
        <w:trPr>
          <w:trHeight w:val="210"/>
        </w:trPr>
        <w:tc>
          <w:tcPr>
            <w:tcW w:w="20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≥125%</w:t>
            </w:r>
          </w:p>
        </w:tc>
        <w:tc>
          <w:tcPr>
            <w:tcW w:w="16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200%</w:t>
            </w:r>
          </w:p>
        </w:tc>
        <w:tc>
          <w:tcPr>
            <w:tcW w:w="1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Maximum performance</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22"/>
          <w:szCs w:val="22"/>
          <w:color w:val="auto"/>
        </w:rPr>
        <w:t>In the event that achievement for a performance metric is between threshold performance and target performance or between target performance and maximum performance, the applicable funding pool scale percentage will be determined by linear interpolation between threshold performance and target performance or between target performance and maximum performance, as applicable.</w:t>
      </w:r>
    </w:p>
    <w:p>
      <w:pPr>
        <w:spacing w:after="0" w:line="179"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2"/>
          <w:szCs w:val="22"/>
          <w:color w:val="auto"/>
        </w:rPr>
        <w:t>In the case of the Corporate Plan, the applicable performance metric must achieve threshold performance or no award is payable under that metric before the performance scale is applied to the applicable metric. The failure of one metric to achieve threshold performance does not impact the other metrics; provided, however, that for funding to occur at least one metric must achieve threshold performance. In the case of the Business Area Plans, both performance metrics must achieve at least threshold performance or no award is payable for the Business Area component of the respective Business Area Plan.</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payout attributable to each performance metric will be weighted and added to arrive at the overall achievement which determines the funding pool.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 illustrative example of the development of a funding pool for the Corporate Plan and the Company component of the</w:t>
      </w:r>
    </w:p>
    <w:p>
      <w:pPr>
        <w:spacing w:after="0"/>
        <w:rPr>
          <w:sz w:val="20"/>
          <w:szCs w:val="20"/>
          <w:color w:val="auto"/>
        </w:rPr>
      </w:pPr>
      <w:r>
        <w:rPr>
          <w:rFonts w:ascii="Times New Roman" w:cs="Times New Roman" w:eastAsia="Times New Roman" w:hAnsi="Times New Roman"/>
          <w:sz w:val="22"/>
          <w:szCs w:val="22"/>
          <w:color w:val="auto"/>
        </w:rPr>
        <w:t>Business Area Plans is as follows:</w:t>
      </w:r>
    </w:p>
    <w:p>
      <w:pPr>
        <w:spacing w:after="0" w:line="182" w:lineRule="exact"/>
        <w:rPr>
          <w:sz w:val="20"/>
          <w:szCs w:val="20"/>
          <w:color w:val="auto"/>
        </w:rPr>
      </w:pPr>
    </w:p>
    <w:p>
      <w:pPr>
        <w:ind w:left="640" w:right="340"/>
        <w:spacing w:after="0" w:line="220" w:lineRule="auto"/>
        <w:rPr>
          <w:sz w:val="20"/>
          <w:szCs w:val="20"/>
          <w:color w:val="auto"/>
        </w:rPr>
      </w:pPr>
      <w:r>
        <w:rPr>
          <w:rFonts w:ascii="Times New Roman" w:cs="Times New Roman" w:eastAsia="Times New Roman" w:hAnsi="Times New Roman"/>
          <w:sz w:val="22"/>
          <w:szCs w:val="22"/>
          <w:color w:val="auto"/>
        </w:rPr>
        <w:t>If the Company achieves Net Revenue of 100% of target (which results in 100% funding) and Operating Profit Margin of 80% of target (which results in 50% funding) but Free Cash Flow does not reach threshold performance, then the aggregate weighted achievement for the Corporate Plan would be 60%, calculated as follows:</w:t>
      </w:r>
    </w:p>
    <w:p>
      <w:pPr>
        <w:spacing w:after="0" w:line="17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(100% x 40%) + (50% x 40%) + (0% x 20%) = 60%</w:t>
      </w:r>
    </w:p>
    <w:p>
      <w:pPr>
        <w:spacing w:after="0" w:line="179" w:lineRule="exact"/>
        <w:rPr>
          <w:sz w:val="20"/>
          <w:szCs w:val="20"/>
          <w:color w:val="auto"/>
        </w:rPr>
      </w:pPr>
    </w:p>
    <w:p>
      <w:pPr>
        <w:ind w:left="640" w:right="900"/>
        <w:spacing w:after="0" w:line="236" w:lineRule="auto"/>
        <w:rPr>
          <w:sz w:val="20"/>
          <w:szCs w:val="20"/>
          <w:color w:val="auto"/>
        </w:rPr>
      </w:pPr>
      <w:r>
        <w:rPr>
          <w:rFonts w:ascii="Times New Roman" w:cs="Times New Roman" w:eastAsia="Times New Roman" w:hAnsi="Times New Roman"/>
          <w:sz w:val="22"/>
          <w:szCs w:val="22"/>
          <w:color w:val="auto"/>
        </w:rPr>
        <w:t>In this scenario, the Company component for each of the respective Business Area Plans would be 12%, calculated as follows:</w:t>
      </w:r>
    </w:p>
    <w:p>
      <w:pPr>
        <w:spacing w:after="0" w:line="17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(60% x 20%) =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60"/>
          </w:cols>
          <w:pgMar w:left="980" w:top="1373" w:right="359" w:bottom="1440" w:gutter="0" w:footer="0" w:header="0"/>
        </w:sectPr>
      </w:pPr>
    </w:p>
    <w:bookmarkStart w:id="102" w:name="page103"/>
    <w:bookmarkEnd w:id="102"/>
    <w:p>
      <w:pPr>
        <w:ind w:left="440" w:right="140"/>
        <w:spacing w:after="0" w:line="236" w:lineRule="auto"/>
        <w:rPr>
          <w:sz w:val="20"/>
          <w:szCs w:val="20"/>
          <w:color w:val="auto"/>
        </w:rPr>
      </w:pPr>
      <w:r>
        <w:rPr>
          <w:rFonts w:ascii="Times New Roman" w:cs="Times New Roman" w:eastAsia="Times New Roman" w:hAnsi="Times New Roman"/>
          <w:sz w:val="22"/>
          <w:szCs w:val="22"/>
          <w:color w:val="auto"/>
        </w:rPr>
        <w:t>Illustrative examples of the development of a funding pool for the Business Area component of a Business Area Plan are as follows:</w:t>
      </w:r>
    </w:p>
    <w:p>
      <w:pPr>
        <w:spacing w:after="0" w:line="177" w:lineRule="exact"/>
        <w:rPr>
          <w:sz w:val="20"/>
          <w:szCs w:val="20"/>
          <w:color w:val="auto"/>
        </w:rPr>
      </w:pPr>
    </w:p>
    <w:p>
      <w:pPr>
        <w:jc w:val="both"/>
        <w:ind w:left="1080" w:right="20"/>
        <w:spacing w:after="0" w:line="220" w:lineRule="auto"/>
        <w:rPr>
          <w:sz w:val="20"/>
          <w:szCs w:val="20"/>
          <w:color w:val="auto"/>
        </w:rPr>
      </w:pPr>
      <w:r>
        <w:rPr>
          <w:rFonts w:ascii="Times New Roman" w:cs="Times New Roman" w:eastAsia="Times New Roman" w:hAnsi="Times New Roman"/>
          <w:sz w:val="22"/>
          <w:szCs w:val="22"/>
          <w:color w:val="auto"/>
        </w:rPr>
        <w:t>If the applicable Business Area achieves Revenue of 100% of target (which results in 100% funding) and Business Area Operating Profit Margin of 65% of target (which is below the 80% threshold), the Business Area component of the respective Business Area Plan will not fund (0% funding). In this scenario, the funding pool, if any, will be determined solely by the Company component of the Business Area Plans.</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ind w:left="1080" w:right="240"/>
        <w:spacing w:after="0" w:line="236" w:lineRule="auto"/>
        <w:rPr>
          <w:sz w:val="20"/>
          <w:szCs w:val="20"/>
          <w:color w:val="auto"/>
        </w:rPr>
      </w:pPr>
      <w:r>
        <w:rPr>
          <w:rFonts w:ascii="Times New Roman" w:cs="Times New Roman" w:eastAsia="Times New Roman" w:hAnsi="Times New Roman"/>
          <w:sz w:val="21"/>
          <w:szCs w:val="21"/>
          <w:color w:val="auto"/>
        </w:rPr>
        <w:t>If the applicable Business Area achieves Revenue of 100% of target (which results in 100% funding), and Operating Profit Margin of 80% of target (which results in a 50% funding), the aggregate weighted achievement for the Business Area component of the respective Business Area Plan would be 75%, calculated as follows:</w:t>
      </w:r>
    </w:p>
    <w:p>
      <w:pPr>
        <w:spacing w:after="0" w:line="17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(100% x 50%) + (50% x 50%) = 75%</w:t>
      </w:r>
    </w:p>
    <w:p>
      <w:pPr>
        <w:spacing w:after="0" w:line="206" w:lineRule="exact"/>
        <w:rPr>
          <w:sz w:val="20"/>
          <w:szCs w:val="20"/>
          <w:color w:val="auto"/>
        </w:rPr>
      </w:pPr>
    </w:p>
    <w:p>
      <w:pPr>
        <w:ind w:left="440" w:right="40"/>
        <w:spacing w:after="0" w:line="220" w:lineRule="auto"/>
        <w:rPr>
          <w:sz w:val="20"/>
          <w:szCs w:val="20"/>
          <w:color w:val="auto"/>
        </w:rPr>
      </w:pPr>
      <w:r>
        <w:rPr>
          <w:rFonts w:ascii="Times New Roman" w:cs="Times New Roman" w:eastAsia="Times New Roman" w:hAnsi="Times New Roman"/>
          <w:sz w:val="22"/>
          <w:szCs w:val="22"/>
          <w:color w:val="auto"/>
        </w:rPr>
        <w:t>Once all Business Area results have been calculated, the funding pool of each respective Business Area component is developed. The Business Area component funding pool for each of the Business Areas (weighted at 80%), combined with the Company component funding pool (weighted at 20%), will equal the aggregate of the PRP funding pool for the respective Business Area Plan.</w:t>
      </w:r>
    </w:p>
    <w:p>
      <w:pPr>
        <w:spacing w:after="0" w:line="200" w:lineRule="exact"/>
        <w:rPr>
          <w:sz w:val="20"/>
          <w:szCs w:val="20"/>
          <w:color w:val="auto"/>
        </w:rPr>
      </w:pPr>
    </w:p>
    <w:p>
      <w:pPr>
        <w:spacing w:after="0" w:line="209" w:lineRule="exact"/>
        <w:rPr>
          <w:sz w:val="20"/>
          <w:szCs w:val="20"/>
          <w:color w:val="auto"/>
        </w:rPr>
      </w:pPr>
    </w:p>
    <w:p>
      <w:pPr>
        <w:ind w:left="440"/>
        <w:spacing w:after="0"/>
        <w:tabs>
          <w:tab w:leader="none" w:pos="90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Funding Pools</w:t>
      </w:r>
    </w:p>
    <w:p>
      <w:pPr>
        <w:ind w:left="1080"/>
        <w:spacing w:after="0" w:line="211" w:lineRule="auto"/>
        <w:rPr>
          <w:sz w:val="20"/>
          <w:szCs w:val="20"/>
          <w:color w:val="auto"/>
        </w:rPr>
      </w:pPr>
      <w:r>
        <w:rPr>
          <w:rFonts w:ascii="Times New Roman" w:cs="Times New Roman" w:eastAsia="Times New Roman" w:hAnsi="Times New Roman"/>
          <w:sz w:val="22"/>
          <w:szCs w:val="22"/>
          <w:color w:val="auto"/>
        </w:rPr>
        <w:t>The Company calculates the Corporate Plan funding pool based on the Company’s performance through the end of the fiscal year against the applicable performance targets (“Corporate Plan Funding Pool”). The Company calculates the funding pool for the Business Area Plans based on the Company’s performance and the performance of each Business Area through the end of the fiscal year against the applicable performance targets for the respective Business Area (the “Business Area Funding Pool” refers to the aggregate pool for all Business Area Plans and, together with the Corporate Plan Funding Pool, is referred to hereinafter as the “Funding Pool”).</w:t>
      </w:r>
    </w:p>
    <w:p>
      <w:pPr>
        <w:spacing w:after="0" w:line="181" w:lineRule="exact"/>
        <w:rPr>
          <w:sz w:val="20"/>
          <w:szCs w:val="20"/>
          <w:color w:val="auto"/>
        </w:rPr>
      </w:pPr>
    </w:p>
    <w:p>
      <w:pPr>
        <w:ind w:left="1080" w:right="40"/>
        <w:spacing w:after="0" w:line="217" w:lineRule="auto"/>
        <w:rPr>
          <w:sz w:val="20"/>
          <w:szCs w:val="20"/>
          <w:color w:val="auto"/>
        </w:rPr>
      </w:pPr>
      <w:r>
        <w:rPr>
          <w:rFonts w:ascii="Times New Roman" w:cs="Times New Roman" w:eastAsia="Times New Roman" w:hAnsi="Times New Roman"/>
          <w:sz w:val="22"/>
          <w:szCs w:val="22"/>
          <w:color w:val="auto"/>
        </w:rPr>
        <w:t>Although the CEO and the Compensation Committee reserve the right to alter the Funding Pool after year end, but prior to the actual payment of awards to participants in the PRP, it is expected that such discretion will only be exercised in rare or extreme circumstances, and that generally the Funding Pool, as it has been computed, will be paid (absent any affirmative exercise of this discretion) to the participants in the PRP collectively following the end of the fiscal year.</w:t>
      </w:r>
    </w:p>
    <w:p>
      <w:pPr>
        <w:spacing w:after="0" w:line="166" w:lineRule="exact"/>
        <w:rPr>
          <w:sz w:val="20"/>
          <w:szCs w:val="20"/>
          <w:color w:val="auto"/>
        </w:rPr>
      </w:pPr>
    </w:p>
    <w:p>
      <w:pPr>
        <w:ind w:left="440"/>
        <w:spacing w:after="0"/>
        <w:tabs>
          <w:tab w:leader="none" w:pos="90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High Performer Pool</w:t>
      </w:r>
    </w:p>
    <w:p>
      <w:pPr>
        <w:ind w:left="1080" w:hanging="431"/>
        <w:spacing w:after="0" w:line="223" w:lineRule="auto"/>
        <w:rPr>
          <w:sz w:val="20"/>
          <w:szCs w:val="20"/>
          <w:color w:val="auto"/>
        </w:rPr>
      </w:pPr>
      <w:r>
        <w:rPr>
          <w:rFonts w:ascii="Times New Roman" w:cs="Times New Roman" w:eastAsia="Times New Roman" w:hAnsi="Times New Roman"/>
          <w:sz w:val="21"/>
          <w:szCs w:val="21"/>
          <w:color w:val="auto"/>
        </w:rPr>
        <w:t>Following the end of the year, but prior to the payment of all awards under the PRP, management of the Company, in its sole discretion, may determine it appropriate to reward high-performing Company employees through an additional funding pool (the “High Performer Pool”). Funding of the High Performer Pool is determined by the achievement of the Company’s Operating Profit, overall Company or reporting segment performance and affordability. The aggregate amount of the High Performer Pool is subject to Compensation Committee approval.</w:t>
      </w:r>
    </w:p>
    <w:p>
      <w:pPr>
        <w:spacing w:after="0" w:line="1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Total Awards Under the PRP</w:t>
      </w:r>
    </w:p>
    <w:p>
      <w:pPr>
        <w:ind w:left="1080" w:right="360"/>
        <w:spacing w:after="0" w:line="225" w:lineRule="auto"/>
        <w:rPr>
          <w:sz w:val="20"/>
          <w:szCs w:val="20"/>
          <w:color w:val="auto"/>
        </w:rPr>
      </w:pPr>
      <w:r>
        <w:rPr>
          <w:rFonts w:ascii="Times New Roman" w:cs="Times New Roman" w:eastAsia="Times New Roman" w:hAnsi="Times New Roman"/>
          <w:sz w:val="22"/>
          <w:szCs w:val="22"/>
          <w:color w:val="auto"/>
        </w:rPr>
        <w:t>The aggregate of all incentive awards under the PRP shall consist of the sum of the Funding Pool and the High Performer Pool.</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0"/>
          </w:cols>
          <w:pgMar w:left="540" w:top="1138" w:right="339" w:bottom="1440" w:gutter="0" w:footer="0" w:header="0"/>
        </w:sectPr>
      </w:pPr>
    </w:p>
    <w:bookmarkStart w:id="103" w:name="page104"/>
    <w:bookmarkEnd w:id="103"/>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Management Review</w:t>
      </w:r>
    </w:p>
    <w:p>
      <w:pPr>
        <w:ind w:left="1300" w:right="20"/>
        <w:spacing w:after="0" w:line="209" w:lineRule="auto"/>
        <w:rPr>
          <w:sz w:val="20"/>
          <w:szCs w:val="20"/>
          <w:color w:val="auto"/>
        </w:rPr>
      </w:pPr>
      <w:r>
        <w:rPr>
          <w:rFonts w:ascii="Times New Roman" w:cs="Times New Roman" w:eastAsia="Times New Roman" w:hAnsi="Times New Roman"/>
          <w:sz w:val="22"/>
          <w:szCs w:val="22"/>
          <w:color w:val="auto"/>
        </w:rPr>
        <w:t>Payment of any incentive award to an employee is subject to management’s review. For purposes of the PRP, management has the ability to review the proposed payout of any incentive award under the PRP to an eligible employee and to determine whether such proposed incentive award should be adjusted based on the participant’s performance, contributions to the organization, or any other factor not prohibited by applicable law. In completing this review, management has the option of providing a zero value incentive award to the employee regardless of Company or Business Area performance. For participants that do not receive an incentive award or that receive a reduced incentive award, the portion of such employee’s potential incentive award that might have been reflected in the Funding Pool will remain in the Funding Pool and be allocated to other PRP participants in the manner determined by management.</w:t>
      </w:r>
    </w:p>
    <w:p>
      <w:pPr>
        <w:spacing w:after="0" w:line="1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5.0</w:t>
      </w:r>
      <w:r>
        <w:rPr>
          <w:sz w:val="20"/>
          <w:szCs w:val="20"/>
          <w:color w:val="auto"/>
        </w:rPr>
        <w:tab/>
      </w:r>
      <w:r>
        <w:rPr>
          <w:rFonts w:ascii="Times New Roman" w:cs="Times New Roman" w:eastAsia="Times New Roman" w:hAnsi="Times New Roman"/>
          <w:sz w:val="21"/>
          <w:szCs w:val="21"/>
          <w:u w:val="single" w:color="auto"/>
          <w:color w:val="auto"/>
        </w:rPr>
        <w:t>Removals, Transfers, Terminations, Promotions and Hiring Eligibility</w:t>
      </w:r>
    </w:p>
    <w:p>
      <w:pPr>
        <w:ind w:left="660" w:right="360" w:hanging="431"/>
        <w:spacing w:after="0" w:line="225" w:lineRule="auto"/>
        <w:rPr>
          <w:sz w:val="20"/>
          <w:szCs w:val="20"/>
          <w:color w:val="auto"/>
        </w:rPr>
      </w:pPr>
      <w:r>
        <w:rPr>
          <w:rFonts w:ascii="Times New Roman" w:cs="Times New Roman" w:eastAsia="Times New Roman" w:hAnsi="Times New Roman"/>
          <w:sz w:val="22"/>
          <w:szCs w:val="22"/>
          <w:color w:val="auto"/>
        </w:rPr>
        <w:t>Except to the extent applicable legal requirements or the terms of an employment agreement mandate a different result, the following scenarios will be addressed under the PRP in the manner set forth below.</w:t>
      </w:r>
    </w:p>
    <w:p>
      <w:pPr>
        <w:spacing w:after="0" w:line="17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Participants whose employment with the Company is terminated because of retirement or disability:</w:t>
      </w:r>
    </w:p>
    <w:p>
      <w:pPr>
        <w:spacing w:after="0" w:line="260" w:lineRule="exact"/>
        <w:rPr>
          <w:sz w:val="20"/>
          <w:szCs w:val="20"/>
          <w:color w:val="auto"/>
        </w:rPr>
      </w:pPr>
    </w:p>
    <w:p>
      <w:pPr>
        <w:ind w:left="2060" w:right="1200" w:hanging="240"/>
        <w:spacing w:after="0" w:line="215" w:lineRule="auto"/>
        <w:tabs>
          <w:tab w:leader="none" w:pos="2070" w:val="left"/>
        </w:tabs>
        <w:numPr>
          <w:ilvl w:val="0"/>
          <w:numId w:val="86"/>
        </w:numPr>
        <w:rPr>
          <w:rFonts w:ascii="Arial" w:cs="Arial" w:eastAsia="Arial" w:hAnsi="Arial"/>
          <w:sz w:val="22"/>
          <w:szCs w:val="22"/>
          <w:color w:val="auto"/>
        </w:rPr>
      </w:pPr>
      <w:r>
        <w:rPr>
          <w:rFonts w:ascii="Times New Roman" w:cs="Times New Roman" w:eastAsia="Times New Roman" w:hAnsi="Times New Roman"/>
          <w:sz w:val="22"/>
          <w:szCs w:val="22"/>
          <w:color w:val="auto"/>
        </w:rPr>
        <w:t>After the close of the PRP year, but prior to the actual distribution of incentive awards for such year, may be awarded an incentive award for the plan year at the discretion of the Chief Human Resource Officer. For any such participant who is not given an incentive award, the portion of such person’s potential incentive award that might have been reflected in the Funding Pool will remain in the Funding Pool and be allocated to PRP participants in the manner determined by management.</w:t>
      </w:r>
    </w:p>
    <w:p>
      <w:pPr>
        <w:spacing w:after="0" w:line="178" w:lineRule="exact"/>
        <w:rPr>
          <w:rFonts w:ascii="Arial" w:cs="Arial" w:eastAsia="Arial" w:hAnsi="Arial"/>
          <w:sz w:val="22"/>
          <w:szCs w:val="22"/>
          <w:color w:val="auto"/>
        </w:rPr>
      </w:pPr>
    </w:p>
    <w:p>
      <w:pPr>
        <w:ind w:left="2060" w:right="1220" w:hanging="240"/>
        <w:spacing w:after="0" w:line="235" w:lineRule="auto"/>
        <w:tabs>
          <w:tab w:leader="none" w:pos="2070" w:val="left"/>
        </w:tabs>
        <w:numPr>
          <w:ilvl w:val="0"/>
          <w:numId w:val="86"/>
        </w:numPr>
        <w:rPr>
          <w:rFonts w:ascii="Arial" w:cs="Arial" w:eastAsia="Arial" w:hAnsi="Arial"/>
          <w:sz w:val="22"/>
          <w:szCs w:val="22"/>
          <w:color w:val="auto"/>
        </w:rPr>
      </w:pPr>
      <w:r>
        <w:rPr>
          <w:rFonts w:ascii="Times New Roman" w:cs="Times New Roman" w:eastAsia="Times New Roman" w:hAnsi="Times New Roman"/>
          <w:sz w:val="22"/>
          <w:szCs w:val="22"/>
          <w:color w:val="auto"/>
        </w:rPr>
        <w:t>After the beginning, but prior to the close of the PRP year, no award shall be granted unless authorized at the discretion of the Chief Human Resource Officer.</w:t>
      </w:r>
    </w:p>
    <w:p>
      <w:pPr>
        <w:spacing w:after="0" w:line="287" w:lineRule="exact"/>
        <w:rPr>
          <w:sz w:val="20"/>
          <w:szCs w:val="20"/>
          <w:color w:val="auto"/>
        </w:rPr>
      </w:pPr>
    </w:p>
    <w:p>
      <w:pPr>
        <w:ind w:left="440" w:right="4160" w:hanging="215"/>
        <w:spacing w:after="0" w:line="236" w:lineRule="auto"/>
        <w:rPr>
          <w:sz w:val="20"/>
          <w:szCs w:val="20"/>
          <w:color w:val="auto"/>
        </w:rPr>
      </w:pPr>
      <w:r>
        <w:rPr>
          <w:rFonts w:ascii="Times New Roman" w:cs="Times New Roman" w:eastAsia="Times New Roman" w:hAnsi="Times New Roman"/>
          <w:sz w:val="22"/>
          <w:szCs w:val="22"/>
          <w:color w:val="auto"/>
        </w:rPr>
        <w:t>5.2</w:t>
      </w:r>
      <w:r>
        <w:rPr>
          <w:sz w:val="20"/>
          <w:szCs w:val="20"/>
          <w:color w:val="auto"/>
        </w:rPr>
        <w:t xml:space="preserve"> </w:t>
      </w:r>
      <w:r>
        <w:rPr>
          <w:rFonts w:ascii="Times New Roman" w:cs="Times New Roman" w:eastAsia="Times New Roman" w:hAnsi="Times New Roman"/>
          <w:sz w:val="22"/>
          <w:szCs w:val="22"/>
          <w:color w:val="auto"/>
        </w:rPr>
        <w:t>Participants whose employment with the Company is terminated because of death:</w:t>
      </w:r>
    </w:p>
    <w:p>
      <w:pPr>
        <w:spacing w:after="0" w:line="231" w:lineRule="exact"/>
        <w:rPr>
          <w:sz w:val="20"/>
          <w:szCs w:val="20"/>
          <w:color w:val="auto"/>
        </w:rPr>
      </w:pPr>
    </w:p>
    <w:p>
      <w:pPr>
        <w:ind w:left="2060" w:right="1300" w:hanging="240"/>
        <w:spacing w:after="0" w:line="225" w:lineRule="auto"/>
        <w:tabs>
          <w:tab w:leader="none" w:pos="2070" w:val="left"/>
        </w:tabs>
        <w:numPr>
          <w:ilvl w:val="0"/>
          <w:numId w:val="87"/>
        </w:numPr>
        <w:rPr>
          <w:rFonts w:ascii="Arial" w:cs="Arial" w:eastAsia="Arial" w:hAnsi="Arial"/>
          <w:sz w:val="22"/>
          <w:szCs w:val="22"/>
          <w:color w:val="auto"/>
        </w:rPr>
      </w:pPr>
      <w:r>
        <w:rPr>
          <w:rFonts w:ascii="Times New Roman" w:cs="Times New Roman" w:eastAsia="Times New Roman" w:hAnsi="Times New Roman"/>
          <w:sz w:val="22"/>
          <w:szCs w:val="22"/>
          <w:color w:val="auto"/>
        </w:rPr>
        <w:t>After the close of the PRP year, but prior to the actual distribution of awards for such year, shall be awarded an incentive award. Such payment will be made to the deceased employee’s estate.</w:t>
      </w:r>
    </w:p>
    <w:p>
      <w:pPr>
        <w:spacing w:after="0" w:line="219" w:lineRule="exact"/>
        <w:rPr>
          <w:rFonts w:ascii="Arial" w:cs="Arial" w:eastAsia="Arial" w:hAnsi="Arial"/>
          <w:sz w:val="22"/>
          <w:szCs w:val="22"/>
          <w:color w:val="auto"/>
        </w:rPr>
      </w:pPr>
    </w:p>
    <w:p>
      <w:pPr>
        <w:ind w:left="2060" w:right="1220" w:hanging="240"/>
        <w:spacing w:after="0" w:line="225" w:lineRule="auto"/>
        <w:tabs>
          <w:tab w:leader="none" w:pos="2070" w:val="left"/>
        </w:tabs>
        <w:numPr>
          <w:ilvl w:val="0"/>
          <w:numId w:val="87"/>
        </w:numPr>
        <w:rPr>
          <w:rFonts w:ascii="Arial" w:cs="Arial" w:eastAsia="Arial" w:hAnsi="Arial"/>
          <w:sz w:val="22"/>
          <w:szCs w:val="22"/>
          <w:color w:val="auto"/>
        </w:rPr>
      </w:pPr>
      <w:r>
        <w:rPr>
          <w:rFonts w:ascii="Times New Roman" w:cs="Times New Roman" w:eastAsia="Times New Roman" w:hAnsi="Times New Roman"/>
          <w:sz w:val="22"/>
          <w:szCs w:val="22"/>
          <w:color w:val="auto"/>
        </w:rPr>
        <w:t>After the beginning, but prior to the close of the PRP year, no award shall be granted unless authorized at the discretion of the Chief Human Resource Officer. Any such payments will be made to the deceased employee’s estate.</w:t>
      </w:r>
    </w:p>
    <w:p>
      <w:pPr>
        <w:spacing w:after="0" w:line="300" w:lineRule="exact"/>
        <w:rPr>
          <w:sz w:val="20"/>
          <w:szCs w:val="20"/>
          <w:color w:val="auto"/>
        </w:rPr>
      </w:pPr>
    </w:p>
    <w:p>
      <w:pPr>
        <w:ind w:left="720" w:hanging="1079"/>
        <w:spacing w:after="0" w:line="220" w:lineRule="auto"/>
        <w:tabs>
          <w:tab w:leader="none" w:pos="700" w:val="left"/>
        </w:tabs>
        <w:rPr>
          <w:sz w:val="20"/>
          <w:szCs w:val="20"/>
          <w:color w:val="auto"/>
        </w:rPr>
      </w:pPr>
      <w:r>
        <w:rPr>
          <w:rFonts w:ascii="Times New Roman" w:cs="Times New Roman" w:eastAsia="Times New Roman" w:hAnsi="Times New Roman"/>
          <w:sz w:val="22"/>
          <w:szCs w:val="22"/>
          <w:color w:val="auto"/>
        </w:rPr>
        <w:t>5.3</w:t>
        <w:tab/>
        <w:t>Participants who resign for any reason after the close of the PRP year, but prior to the distribution of incentive awards for such year, will not receive an incentive award. For any such employee, the portion of such person’s potential incentive award that might have been reflected in the Funding Pool will remain in the Funding Pool and be allocated to PRP participants in the manner determined by management.</w:t>
      </w:r>
    </w:p>
    <w:p>
      <w:pPr>
        <w:spacing w:after="0" w:line="179" w:lineRule="exact"/>
        <w:rPr>
          <w:sz w:val="20"/>
          <w:szCs w:val="20"/>
          <w:color w:val="auto"/>
        </w:rPr>
      </w:pPr>
    </w:p>
    <w:p>
      <w:pPr>
        <w:ind w:left="440" w:right="4200" w:hanging="215"/>
        <w:spacing w:after="0" w:line="255" w:lineRule="auto"/>
        <w:rPr>
          <w:sz w:val="20"/>
          <w:szCs w:val="20"/>
          <w:color w:val="auto"/>
        </w:rPr>
      </w:pPr>
      <w:r>
        <w:rPr>
          <w:rFonts w:ascii="Times New Roman" w:cs="Times New Roman" w:eastAsia="Times New Roman" w:hAnsi="Times New Roman"/>
          <w:sz w:val="22"/>
          <w:szCs w:val="22"/>
          <w:color w:val="auto"/>
        </w:rPr>
        <w:t>5.4</w:t>
      </w:r>
      <w:r>
        <w:rPr>
          <w:sz w:val="20"/>
          <w:szCs w:val="20"/>
          <w:color w:val="auto"/>
        </w:rPr>
        <w:t xml:space="preserve"> </w:t>
      </w:r>
      <w:r>
        <w:rPr>
          <w:rFonts w:ascii="Times New Roman" w:cs="Times New Roman" w:eastAsia="Times New Roman" w:hAnsi="Times New Roman"/>
          <w:sz w:val="21"/>
          <w:szCs w:val="21"/>
          <w:color w:val="auto"/>
        </w:rPr>
        <w:t>Participants who are discharged from the employ of the Company or any of its subsidiaries for cause or for any offense involving moral turpitude or</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125" w:right="379" w:bottom="1440" w:gutter="0" w:footer="0" w:header="0"/>
        </w:sectPr>
      </w:pPr>
    </w:p>
    <w:bookmarkStart w:id="104" w:name="page105"/>
    <w:bookmarkEnd w:id="104"/>
    <w:p>
      <w:pPr>
        <w:ind w:left="1080"/>
        <w:spacing w:after="0" w:line="220" w:lineRule="auto"/>
        <w:rPr>
          <w:sz w:val="20"/>
          <w:szCs w:val="20"/>
          <w:color w:val="auto"/>
        </w:rPr>
      </w:pPr>
      <w:r>
        <w:rPr>
          <w:rFonts w:ascii="Times New Roman" w:cs="Times New Roman" w:eastAsia="Times New Roman" w:hAnsi="Times New Roman"/>
          <w:sz w:val="22"/>
          <w:szCs w:val="22"/>
          <w:color w:val="auto"/>
        </w:rPr>
        <w:t>an offense involving breach of the fiduciary duty owed by the individual to the Company will not be entitled to an incentive award for any PRP year. For any such employee, the portion of such person’s potential incentive award that might have been reflected in the Funding Pool will remain in the Funding Pool and be allocated to PRP participants in the manner determined by management.</w:t>
      </w:r>
    </w:p>
    <w:p>
      <w:pPr>
        <w:spacing w:after="0" w:line="179" w:lineRule="exact"/>
        <w:rPr>
          <w:sz w:val="20"/>
          <w:szCs w:val="20"/>
          <w:color w:val="auto"/>
        </w:rPr>
      </w:pPr>
    </w:p>
    <w:p>
      <w:pPr>
        <w:jc w:val="right"/>
        <w:ind w:right="100"/>
        <w:spacing w:after="0" w:line="236" w:lineRule="auto"/>
        <w:rPr>
          <w:sz w:val="20"/>
          <w:szCs w:val="20"/>
          <w:color w:val="auto"/>
        </w:rPr>
      </w:pPr>
      <w:r>
        <w:rPr>
          <w:rFonts w:ascii="Times New Roman" w:cs="Times New Roman" w:eastAsia="Times New Roman" w:hAnsi="Times New Roman"/>
          <w:sz w:val="22"/>
          <w:szCs w:val="22"/>
          <w:color w:val="auto"/>
        </w:rPr>
        <w:t>5.5  Participants who are discharged from the employ of the Company or any of its subsidiaries due to any reason other than the ones enumerated above, including, without limitation, employees who are discharged due to job elimination:</w:t>
      </w:r>
    </w:p>
    <w:p>
      <w:pPr>
        <w:spacing w:after="0" w:line="204" w:lineRule="exact"/>
        <w:rPr>
          <w:sz w:val="20"/>
          <w:szCs w:val="20"/>
          <w:color w:val="auto"/>
        </w:rPr>
      </w:pPr>
    </w:p>
    <w:p>
      <w:pPr>
        <w:ind w:left="1840" w:right="1140" w:hanging="240"/>
        <w:spacing w:after="0" w:line="215" w:lineRule="auto"/>
        <w:tabs>
          <w:tab w:leader="none" w:pos="1850" w:val="left"/>
        </w:tabs>
        <w:numPr>
          <w:ilvl w:val="0"/>
          <w:numId w:val="88"/>
        </w:numPr>
        <w:rPr>
          <w:rFonts w:ascii="Arial" w:cs="Arial" w:eastAsia="Arial" w:hAnsi="Arial"/>
          <w:sz w:val="22"/>
          <w:szCs w:val="22"/>
          <w:color w:val="auto"/>
        </w:rPr>
      </w:pPr>
      <w:r>
        <w:rPr>
          <w:rFonts w:ascii="Times New Roman" w:cs="Times New Roman" w:eastAsia="Times New Roman" w:hAnsi="Times New Roman"/>
          <w:sz w:val="22"/>
          <w:szCs w:val="22"/>
          <w:color w:val="auto"/>
        </w:rPr>
        <w:t>After the close of the PRP year, but prior to the actual distribution of incentive awards for such year, may be awarded an incentive award. No award shall be granted unless authorized at the discretion of the Chief Human Resource Officer. For any such employee who is not given an incentive award, the portion of such person’s potential incentive award that might have been reflected in the Funding Pool will remain in the Funding Pool and be allocated to PRP participants in the manner determined by management.</w:t>
      </w:r>
    </w:p>
    <w:p>
      <w:pPr>
        <w:spacing w:after="0" w:line="218" w:lineRule="exact"/>
        <w:rPr>
          <w:rFonts w:ascii="Arial" w:cs="Arial" w:eastAsia="Arial" w:hAnsi="Arial"/>
          <w:sz w:val="22"/>
          <w:szCs w:val="22"/>
          <w:color w:val="auto"/>
        </w:rPr>
      </w:pPr>
    </w:p>
    <w:p>
      <w:pPr>
        <w:ind w:left="1840" w:right="1140" w:hanging="240"/>
        <w:spacing w:after="0" w:line="225" w:lineRule="auto"/>
        <w:tabs>
          <w:tab w:leader="none" w:pos="1850" w:val="left"/>
        </w:tabs>
        <w:numPr>
          <w:ilvl w:val="0"/>
          <w:numId w:val="88"/>
        </w:numPr>
        <w:rPr>
          <w:rFonts w:ascii="Arial" w:cs="Arial" w:eastAsia="Arial" w:hAnsi="Arial"/>
          <w:sz w:val="22"/>
          <w:szCs w:val="22"/>
          <w:color w:val="auto"/>
        </w:rPr>
      </w:pPr>
      <w:r>
        <w:rPr>
          <w:rFonts w:ascii="Times New Roman" w:cs="Times New Roman" w:eastAsia="Times New Roman" w:hAnsi="Times New Roman"/>
          <w:sz w:val="22"/>
          <w:szCs w:val="22"/>
          <w:color w:val="auto"/>
        </w:rPr>
        <w:t>After the beginning, but prior to the close of the PRP year, the employee is no longer eligible for that year. However, a discretionary incentive award may be granted by the Chief Human Resource Officer.</w:t>
      </w:r>
    </w:p>
    <w:p>
      <w:pPr>
        <w:spacing w:after="0" w:line="27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color w:val="auto"/>
        </w:rPr>
        <w:t>Participants under statutory or contractual notices as may be required by applicable law:</w:t>
      </w:r>
    </w:p>
    <w:p>
      <w:pPr>
        <w:spacing w:after="0" w:line="260" w:lineRule="exact"/>
        <w:rPr>
          <w:sz w:val="20"/>
          <w:szCs w:val="20"/>
          <w:color w:val="auto"/>
        </w:rPr>
      </w:pPr>
    </w:p>
    <w:p>
      <w:pPr>
        <w:ind w:left="1840" w:right="1200" w:hanging="240"/>
        <w:spacing w:after="0" w:line="225" w:lineRule="auto"/>
        <w:tabs>
          <w:tab w:leader="none" w:pos="1850" w:val="left"/>
        </w:tabs>
        <w:numPr>
          <w:ilvl w:val="0"/>
          <w:numId w:val="89"/>
        </w:numPr>
        <w:rPr>
          <w:rFonts w:ascii="Arial" w:cs="Arial" w:eastAsia="Arial" w:hAnsi="Arial"/>
          <w:sz w:val="21"/>
          <w:szCs w:val="21"/>
          <w:color w:val="auto"/>
        </w:rPr>
      </w:pPr>
      <w:r>
        <w:rPr>
          <w:rFonts w:ascii="Times New Roman" w:cs="Times New Roman" w:eastAsia="Times New Roman" w:hAnsi="Times New Roman"/>
          <w:sz w:val="21"/>
          <w:szCs w:val="21"/>
          <w:color w:val="auto"/>
        </w:rPr>
        <w:t>At the end of the fiscal year, may be awarded an incentive award for the PRP year. Except as may be required by applicable law, no award shall be granted unless authorized at the discretion of the Chief Human Resource Officer. For any such employee who is not given an incentive award, the portion of such person’s potential incentive award that might have been reflected in the Funding Pool will remain in the Funding Pool and be allocated to PRP participants in the manner determined by management.</w:t>
      </w:r>
    </w:p>
    <w:p>
      <w:pPr>
        <w:spacing w:after="0" w:line="220" w:lineRule="exact"/>
        <w:rPr>
          <w:rFonts w:ascii="Arial" w:cs="Arial" w:eastAsia="Arial" w:hAnsi="Arial"/>
          <w:sz w:val="21"/>
          <w:szCs w:val="21"/>
          <w:color w:val="auto"/>
        </w:rPr>
      </w:pPr>
    </w:p>
    <w:p>
      <w:pPr>
        <w:jc w:val="both"/>
        <w:ind w:left="1840" w:right="1340" w:hanging="240"/>
        <w:spacing w:after="0" w:line="225" w:lineRule="auto"/>
        <w:tabs>
          <w:tab w:leader="none" w:pos="1850" w:val="left"/>
        </w:tabs>
        <w:numPr>
          <w:ilvl w:val="0"/>
          <w:numId w:val="89"/>
        </w:numPr>
        <w:rPr>
          <w:rFonts w:ascii="Arial" w:cs="Arial" w:eastAsia="Arial" w:hAnsi="Arial"/>
          <w:sz w:val="22"/>
          <w:szCs w:val="22"/>
          <w:color w:val="auto"/>
        </w:rPr>
      </w:pPr>
      <w:r>
        <w:rPr>
          <w:rFonts w:ascii="Times New Roman" w:cs="Times New Roman" w:eastAsia="Times New Roman" w:hAnsi="Times New Roman"/>
          <w:sz w:val="22"/>
          <w:szCs w:val="22"/>
          <w:color w:val="auto"/>
        </w:rPr>
        <w:t>Which ends prior to the close of the PRP year, shall not be eligible for an incentive award for that plan year. However, a discretionary incentive award may be granted by the Chief Human Resource Officer.</w:t>
      </w:r>
    </w:p>
    <w:p>
      <w:pPr>
        <w:spacing w:after="0" w:line="300" w:lineRule="exact"/>
        <w:rPr>
          <w:sz w:val="20"/>
          <w:szCs w:val="20"/>
          <w:color w:val="auto"/>
        </w:rPr>
      </w:pPr>
    </w:p>
    <w:p>
      <w:pPr>
        <w:ind w:left="500" w:right="20" w:hanging="1079"/>
        <w:spacing w:after="0" w:line="212" w:lineRule="auto"/>
        <w:tabs>
          <w:tab w:leader="none" w:pos="480" w:val="left"/>
        </w:tabs>
        <w:rPr>
          <w:sz w:val="20"/>
          <w:szCs w:val="20"/>
          <w:color w:val="auto"/>
        </w:rPr>
      </w:pPr>
      <w:r>
        <w:rPr>
          <w:rFonts w:ascii="Times New Roman" w:cs="Times New Roman" w:eastAsia="Times New Roman" w:hAnsi="Times New Roman"/>
          <w:sz w:val="22"/>
          <w:szCs w:val="22"/>
          <w:color w:val="auto"/>
        </w:rPr>
        <w:t>5.7</w:t>
        <w:tab/>
        <w:t>Participants transferred during the PRP year from one division of the Company to another where such transfer results in the participant being assigned to different plans during the same PRP year (e.g., from the Corporate Plan to a Business Area Plan; from a Business Area Plan to the Corporate Plan; or from a Business Area Plan to a different Business Area Plan), will be eligible to receive an incentive award (subject to achievement of the requisite performance) through the plan associated with such employee’s position at the end of the PRP year, but the award amount may be based on the performance of the respective plans associated with the employee’s positions during the same PRP year, in such amount and in such manner as determined in the sole discretionary of the Chief Human Resource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940"/>
          </w:cols>
          <w:pgMar w:left="540" w:top="1138" w:right="419" w:bottom="1440" w:gutter="0" w:footer="0" w:header="0"/>
        </w:sectPr>
      </w:pPr>
    </w:p>
    <w:bookmarkStart w:id="105" w:name="page106"/>
    <w:bookmarkEnd w:id="105"/>
    <w:p>
      <w:pPr>
        <w:jc w:val="both"/>
        <w:ind w:left="720" w:right="160" w:hanging="1079"/>
        <w:spacing w:after="0" w:line="207" w:lineRule="auto"/>
        <w:tabs>
          <w:tab w:leader="none" w:pos="700" w:val="left"/>
        </w:tabs>
        <w:rPr>
          <w:sz w:val="20"/>
          <w:szCs w:val="20"/>
          <w:color w:val="auto"/>
        </w:rPr>
      </w:pPr>
      <w:r>
        <w:rPr>
          <w:rFonts w:ascii="Times New Roman" w:cs="Times New Roman" w:eastAsia="Times New Roman" w:hAnsi="Times New Roman"/>
          <w:sz w:val="22"/>
          <w:szCs w:val="22"/>
          <w:color w:val="auto"/>
        </w:rPr>
        <w:t>5.8</w:t>
        <w:tab/>
        <w:t>Employees hired during the PRP year must be actively employed on or before October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or another date designated by the Chief Human Resource Officer of the PRP year to participate in the PRP for that PRP year. Incentive awards will be made based upon the employee's earned salary during the period of their employment with the Company during the PRP year.</w:t>
      </w:r>
    </w:p>
    <w:p>
      <w:pPr>
        <w:spacing w:after="0" w:line="396" w:lineRule="exact"/>
        <w:rPr>
          <w:sz w:val="20"/>
          <w:szCs w:val="20"/>
          <w:color w:val="auto"/>
        </w:rPr>
      </w:pPr>
    </w:p>
    <w:p>
      <w:pPr>
        <w:ind w:left="700" w:right="140" w:hanging="1079"/>
        <w:spacing w:after="0" w:line="225" w:lineRule="auto"/>
        <w:tabs>
          <w:tab w:leader="none" w:pos="680" w:val="left"/>
        </w:tabs>
        <w:rPr>
          <w:sz w:val="20"/>
          <w:szCs w:val="20"/>
          <w:color w:val="auto"/>
        </w:rPr>
      </w:pPr>
      <w:r>
        <w:rPr>
          <w:rFonts w:ascii="Times New Roman" w:cs="Times New Roman" w:eastAsia="Times New Roman" w:hAnsi="Times New Roman"/>
          <w:sz w:val="22"/>
          <w:szCs w:val="22"/>
          <w:color w:val="auto"/>
        </w:rPr>
        <w:t>5.9</w:t>
        <w:tab/>
        <w:t>The eligibility for an incentive award under the PRP for employees who remain employed with the Company during the PRP year but whose change in employment status through promotion or reclassification affects their level of participation:</w:t>
      </w:r>
    </w:p>
    <w:p>
      <w:pPr>
        <w:spacing w:after="0" w:line="228" w:lineRule="exact"/>
        <w:rPr>
          <w:sz w:val="20"/>
          <w:szCs w:val="20"/>
          <w:color w:val="auto"/>
        </w:rPr>
      </w:pPr>
    </w:p>
    <w:p>
      <w:pPr>
        <w:ind w:left="2140" w:right="1260" w:hanging="321"/>
        <w:spacing w:after="0" w:line="219" w:lineRule="auto"/>
        <w:tabs>
          <w:tab w:leader="none" w:pos="2149" w:val="left"/>
        </w:tabs>
        <w:numPr>
          <w:ilvl w:val="0"/>
          <w:numId w:val="90"/>
        </w:numPr>
        <w:rPr>
          <w:rFonts w:ascii="Arial" w:cs="Arial" w:eastAsia="Arial" w:hAnsi="Arial"/>
          <w:sz w:val="21"/>
          <w:szCs w:val="21"/>
          <w:color w:val="auto"/>
        </w:rPr>
      </w:pPr>
      <w:r>
        <w:rPr>
          <w:rFonts w:ascii="Times New Roman" w:cs="Times New Roman" w:eastAsia="Times New Roman" w:hAnsi="Times New Roman"/>
          <w:sz w:val="21"/>
          <w:szCs w:val="21"/>
          <w:color w:val="auto"/>
        </w:rPr>
        <w:t>Prior to October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or another date designated by the Chief Human Resource Officer, of the PRP year, will participate at the level consistent with the promotion or reclassification.</w:t>
      </w:r>
    </w:p>
    <w:p>
      <w:pPr>
        <w:ind w:left="2140" w:right="1580" w:hanging="321"/>
        <w:spacing w:after="0" w:line="203" w:lineRule="auto"/>
        <w:tabs>
          <w:tab w:leader="none" w:pos="2149" w:val="left"/>
        </w:tabs>
        <w:numPr>
          <w:ilvl w:val="0"/>
          <w:numId w:val="90"/>
        </w:numPr>
        <w:rPr>
          <w:rFonts w:ascii="Arial" w:cs="Arial" w:eastAsia="Arial" w:hAnsi="Arial"/>
          <w:sz w:val="22"/>
          <w:szCs w:val="22"/>
          <w:color w:val="auto"/>
        </w:rPr>
      </w:pPr>
      <w:r>
        <w:rPr>
          <w:rFonts w:ascii="Times New Roman" w:cs="Times New Roman" w:eastAsia="Times New Roman" w:hAnsi="Times New Roman"/>
          <w:sz w:val="22"/>
          <w:szCs w:val="22"/>
          <w:color w:val="auto"/>
        </w:rPr>
        <w:t>After October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or another date designated by the Chief Human Resource Officer, but prior to the close of the PRP year, will participate at the level consistent with their classification prior to the promotion or reclassification.</w:t>
      </w:r>
    </w:p>
    <w:p>
      <w:pPr>
        <w:spacing w:after="0" w:line="286" w:lineRule="exact"/>
        <w:rPr>
          <w:sz w:val="20"/>
          <w:szCs w:val="20"/>
          <w:color w:val="auto"/>
        </w:rPr>
      </w:pPr>
    </w:p>
    <w:p>
      <w:pPr>
        <w:jc w:val="both"/>
        <w:ind w:left="1300" w:right="40" w:hanging="1313"/>
        <w:spacing w:after="0" w:line="225" w:lineRule="auto"/>
        <w:rPr>
          <w:sz w:val="20"/>
          <w:szCs w:val="20"/>
          <w:color w:val="auto"/>
        </w:rPr>
      </w:pPr>
      <w:r>
        <w:rPr>
          <w:rFonts w:ascii="Times New Roman" w:cs="Times New Roman" w:eastAsia="Times New Roman" w:hAnsi="Times New Roman"/>
          <w:sz w:val="22"/>
          <w:szCs w:val="22"/>
          <w:color w:val="auto"/>
        </w:rPr>
        <w:t>eligibility for an incentive award under the PRP for employees who remain employed with the Company during the PRP year but whose change in employment status through demotion affects their level of participation will be determined in the sole discretion of the Chief Human Resource Officer.</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6.0</w:t>
      </w:r>
      <w:r>
        <w:rPr>
          <w:sz w:val="20"/>
          <w:szCs w:val="20"/>
          <w:color w:val="auto"/>
        </w:rPr>
        <w:tab/>
      </w:r>
      <w:r>
        <w:rPr>
          <w:rFonts w:ascii="Times New Roman" w:cs="Times New Roman" w:eastAsia="Times New Roman" w:hAnsi="Times New Roman"/>
          <w:sz w:val="21"/>
          <w:szCs w:val="21"/>
          <w:u w:val="single" w:color="auto"/>
          <w:color w:val="auto"/>
        </w:rPr>
        <w:t>Administration of the PRP</w:t>
      </w:r>
    </w:p>
    <w:p>
      <w:pPr>
        <w:spacing w:after="0" w:line="193"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 xml:space="preserve">Amendments to the PRP </w:t>
      </w:r>
      <w:r>
        <w:rPr>
          <w:rFonts w:ascii="Times New Roman" w:cs="Times New Roman" w:eastAsia="Times New Roman" w:hAnsi="Times New Roman"/>
          <w:sz w:val="21"/>
          <w:szCs w:val="21"/>
          <w:color w:val="auto"/>
        </w:rPr>
        <w:t>(Contingency Clause)</w:t>
      </w:r>
    </w:p>
    <w:p>
      <w:pPr>
        <w:ind w:left="1300" w:right="100"/>
        <w:spacing w:after="0" w:line="225" w:lineRule="auto"/>
        <w:rPr>
          <w:sz w:val="20"/>
          <w:szCs w:val="20"/>
          <w:color w:val="auto"/>
        </w:rPr>
      </w:pPr>
      <w:r>
        <w:rPr>
          <w:rFonts w:ascii="Times New Roman" w:cs="Times New Roman" w:eastAsia="Times New Roman" w:hAnsi="Times New Roman"/>
          <w:sz w:val="22"/>
          <w:szCs w:val="22"/>
          <w:color w:val="auto"/>
        </w:rPr>
        <w:t>The CEO and the Compensation Committee reserve the right to interpret, amend, modify, or terminate the PRP in accordance with changing conditions at any time in their sole discretion.</w:t>
      </w:r>
    </w:p>
    <w:p>
      <w:pPr>
        <w:spacing w:after="0" w:line="164"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Incentive Award Distribution</w:t>
      </w:r>
    </w:p>
    <w:p>
      <w:pPr>
        <w:ind w:left="1300" w:right="40" w:hanging="863"/>
        <w:spacing w:after="0" w:line="212" w:lineRule="auto"/>
        <w:rPr>
          <w:sz w:val="20"/>
          <w:szCs w:val="20"/>
          <w:color w:val="auto"/>
        </w:rPr>
      </w:pPr>
      <w:r>
        <w:rPr>
          <w:rFonts w:ascii="Times New Roman" w:cs="Times New Roman" w:eastAsia="Times New Roman" w:hAnsi="Times New Roman"/>
          <w:sz w:val="22"/>
          <w:szCs w:val="22"/>
          <w:color w:val="auto"/>
        </w:rPr>
        <w:t>Incentive awards, when payable, shall be paid as near to the close of the Company’s fiscal year as may be feasible. In furtherance of the preceding sentence, any incentive awards under the PRP will be paid no later than the date allowable to ensure tax deductibility in the year of accrual, which in the case of the United States is two and a half months after the fiscal year end. Participants in the PRP must be employed at the time of award distribution in order to receive an incentive award, except as otherwise provided herein.</w:t>
      </w:r>
    </w:p>
    <w:p>
      <w:pPr>
        <w:spacing w:after="0" w:line="182" w:lineRule="exact"/>
        <w:rPr>
          <w:sz w:val="20"/>
          <w:szCs w:val="20"/>
          <w:color w:val="auto"/>
        </w:rPr>
      </w:pPr>
    </w:p>
    <w:p>
      <w:pPr>
        <w:ind w:left="1300" w:right="460" w:hanging="1079"/>
        <w:spacing w:after="0" w:line="236" w:lineRule="auto"/>
        <w:rPr>
          <w:sz w:val="20"/>
          <w:szCs w:val="20"/>
          <w:color w:val="auto"/>
        </w:rPr>
      </w:pPr>
      <w:r>
        <w:rPr>
          <w:rFonts w:ascii="Times New Roman" w:cs="Times New Roman" w:eastAsia="Times New Roman" w:hAnsi="Times New Roman"/>
          <w:sz w:val="22"/>
          <w:szCs w:val="22"/>
          <w:color w:val="auto"/>
        </w:rPr>
        <w:t>No individual has the right to receive an incentive award until it has been approved and distributed in accordance with the provisions of the PRP.</w:t>
      </w:r>
    </w:p>
    <w:p>
      <w:pPr>
        <w:spacing w:after="0" w:line="164"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Non-Assignment of Awards</w:t>
      </w:r>
    </w:p>
    <w:p>
      <w:pPr>
        <w:ind w:left="1300" w:right="580" w:hanging="863"/>
        <w:spacing w:after="0" w:line="225" w:lineRule="auto"/>
        <w:rPr>
          <w:sz w:val="20"/>
          <w:szCs w:val="20"/>
          <w:color w:val="auto"/>
        </w:rPr>
      </w:pPr>
      <w:r>
        <w:rPr>
          <w:rFonts w:ascii="Times New Roman" w:cs="Times New Roman" w:eastAsia="Times New Roman" w:hAnsi="Times New Roman"/>
          <w:sz w:val="22"/>
          <w:szCs w:val="22"/>
          <w:color w:val="auto"/>
        </w:rPr>
        <w:t>Participants eligible to receive incentive awards shall not have any right to pledge, assign, or otherwise dispose of any unpaid or projected awards.</w:t>
      </w:r>
    </w:p>
    <w:p>
      <w:pPr>
        <w:spacing w:after="0" w:line="164"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Deferral of Awards</w:t>
      </w:r>
    </w:p>
    <w:p>
      <w:pPr>
        <w:ind w:left="1300"/>
        <w:spacing w:after="0" w:line="225" w:lineRule="auto"/>
        <w:rPr>
          <w:sz w:val="20"/>
          <w:szCs w:val="20"/>
          <w:color w:val="auto"/>
        </w:rPr>
      </w:pPr>
      <w:r>
        <w:rPr>
          <w:rFonts w:ascii="Times New Roman" w:cs="Times New Roman" w:eastAsia="Times New Roman" w:hAnsi="Times New Roman"/>
          <w:sz w:val="22"/>
          <w:szCs w:val="22"/>
          <w:color w:val="auto"/>
        </w:rPr>
        <w:t>Participants eligible to defer incentive awards through the Deferred Compensation Program (DCP) may elect to do so during the annual DCP enrollment.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Clawback of Awards</w:t>
      </w:r>
    </w:p>
    <w:p>
      <w:pPr>
        <w:ind w:left="1300" w:right="420"/>
        <w:spacing w:after="0" w:line="218" w:lineRule="auto"/>
        <w:rPr>
          <w:sz w:val="20"/>
          <w:szCs w:val="20"/>
          <w:color w:val="auto"/>
        </w:rPr>
      </w:pPr>
      <w:r>
        <w:rPr>
          <w:rFonts w:ascii="Times New Roman" w:cs="Times New Roman" w:eastAsia="Times New Roman" w:hAnsi="Times New Roman"/>
          <w:sz w:val="22"/>
          <w:szCs w:val="22"/>
          <w:color w:val="auto"/>
        </w:rPr>
        <w:t>By accepting any incentive award under the Plan, the participant hereby acknowledges and agrees that any incentive compensation the participant is awarded is subject to the Hasbro, Inc. Clawback Policy, as it may be amended from time to</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132" w:right="359" w:bottom="1440" w:gutter="0" w:footer="0" w:header="0"/>
        </w:sectPr>
      </w:pPr>
    </w:p>
    <w:bookmarkStart w:id="106" w:name="page107"/>
    <w:bookmarkEnd w:id="106"/>
    <w:p>
      <w:pPr>
        <w:ind w:left="640" w:right="580"/>
        <w:spacing w:after="0" w:line="216" w:lineRule="auto"/>
        <w:rPr>
          <w:sz w:val="20"/>
          <w:szCs w:val="20"/>
          <w:color w:val="auto"/>
        </w:rPr>
      </w:pPr>
      <w:r>
        <w:rPr>
          <w:rFonts w:ascii="Times New Roman" w:cs="Times New Roman" w:eastAsia="Times New Roman" w:hAnsi="Times New Roman"/>
          <w:sz w:val="22"/>
          <w:szCs w:val="22"/>
          <w:color w:val="auto"/>
        </w:rPr>
        <w:t>time by the Board. Such acknowledgement and agreement is a material condition to receiving any incentive award under the Plan, which would not have been awarded to the participant otherwise.</w:t>
      </w:r>
    </w:p>
    <w:p>
      <w:pPr>
        <w:spacing w:after="0" w:line="215" w:lineRule="auto"/>
        <w:tabs>
          <w:tab w:leader="none" w:pos="46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Stock Ownership</w:t>
      </w:r>
    </w:p>
    <w:p>
      <w:pPr>
        <w:jc w:val="both"/>
        <w:ind w:left="640" w:hanging="428"/>
        <w:spacing w:after="0" w:line="208" w:lineRule="auto"/>
        <w:rPr>
          <w:sz w:val="20"/>
          <w:szCs w:val="20"/>
          <w:color w:val="auto"/>
        </w:rPr>
      </w:pPr>
      <w:r>
        <w:rPr>
          <w:rFonts w:ascii="Times New Roman" w:cs="Times New Roman" w:eastAsia="Times New Roman" w:hAnsi="Times New Roman"/>
          <w:sz w:val="22"/>
          <w:szCs w:val="22"/>
          <w:color w:val="auto"/>
        </w:rPr>
        <w:t>Additionally, the participant acknowledges and agrees that if the participant is now, or becomes subject in the future to, the Hasbro, Inc. Executive Stock Ownership Policy, as it may be amended from time to time by the Board (the “Stock Ownership Policy”), then the receipt of any incentive award under the PRP is contingent upon the participant’s compliance with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 Failure to comply with the Stock Ownership Policy may, in the Company’s sole discretion, result in the reduction or total elimination of any incentive award that otherwise might be payable under the PRP and/or result in the Company determining to substitute other forms of compensation, such as equity, for any award the participant otherwise might have received under the PRP.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0"/>
          </w:cols>
          <w:pgMar w:left="980" w:top="1138"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 P. Cocks, certify that:</w:t>
      </w:r>
    </w:p>
    <w:p>
      <w:pPr>
        <w:spacing w:after="0" w:line="185" w:lineRule="exact"/>
        <w:rPr>
          <w:sz w:val="20"/>
          <w:szCs w:val="20"/>
          <w:color w:val="auto"/>
        </w:rPr>
      </w:pPr>
    </w:p>
    <w:p>
      <w:pPr>
        <w:ind w:left="420" w:hanging="412"/>
        <w:spacing w:after="0"/>
        <w:tabs>
          <w:tab w:leader="none" w:pos="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00" w:right="140" w:hanging="244"/>
        <w:spacing w:after="0" w:line="266" w:lineRule="auto"/>
        <w:tabs>
          <w:tab w:leader="none" w:pos="89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8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891"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00" w:right="140" w:hanging="244"/>
        <w:spacing w:after="0" w:line="266" w:lineRule="auto"/>
        <w:tabs>
          <w:tab w:leader="none" w:pos="88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tab/>
        <w:t>April 27, 2022</w:t>
      </w:r>
    </w:p>
    <w:p>
      <w:pPr>
        <w:spacing w:after="0" w:line="1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auto"/>
        </w:rPr>
        <w:t>/s/ Christian P. Cocks</w:t>
      </w:r>
    </w:p>
    <w:p>
      <w:pPr>
        <w:spacing w:after="0" w:line="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Christian P. Cocks</w:t>
      </w:r>
    </w:p>
    <w:p>
      <w:pPr>
        <w:jc w:val="center"/>
        <w:ind w:right="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66"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Deborah Thomas, certify that:</w:t>
      </w:r>
    </w:p>
    <w:p>
      <w:pPr>
        <w:spacing w:after="0" w:line="185" w:lineRule="exact"/>
        <w:rPr>
          <w:sz w:val="20"/>
          <w:szCs w:val="20"/>
          <w:color w:val="auto"/>
        </w:rPr>
      </w:pPr>
    </w:p>
    <w:p>
      <w:pPr>
        <w:ind w:left="420" w:hanging="412"/>
        <w:spacing w:after="0"/>
        <w:tabs>
          <w:tab w:leader="none" w:pos="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820" w:right="220" w:hanging="326"/>
        <w:spacing w:after="0" w:line="266" w:lineRule="auto"/>
        <w:tabs>
          <w:tab w:leader="none" w:pos="81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0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820" w:right="700" w:hanging="326"/>
        <w:spacing w:after="0" w:line="312" w:lineRule="auto"/>
        <w:tabs>
          <w:tab w:leader="none" w:pos="811"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820" w:right="220" w:hanging="326"/>
        <w:spacing w:after="0" w:line="266" w:lineRule="auto"/>
        <w:tabs>
          <w:tab w:leader="none" w:pos="80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0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2022</w:t>
      </w:r>
    </w:p>
    <w:p>
      <w:pPr>
        <w:spacing w:after="0" w:line="18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/s/ Deborah Thomas</w:t>
      </w:r>
    </w:p>
    <w:p>
      <w:pPr>
        <w:spacing w:after="0" w:line="5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Deborah Thomas</w:t>
      </w:r>
    </w:p>
    <w:p>
      <w:pPr>
        <w:ind w:left="6120"/>
        <w:spacing w:after="0" w:line="203" w:lineRule="auto"/>
        <w:rPr>
          <w:sz w:val="20"/>
          <w:szCs w:val="20"/>
          <w:color w:val="auto"/>
        </w:rPr>
      </w:pPr>
      <w:r>
        <w:rPr>
          <w:rFonts w:ascii="Times New Roman" w:cs="Times New Roman" w:eastAsia="Times New Roman" w:hAnsi="Times New Roman"/>
          <w:sz w:val="18"/>
          <w:szCs w:val="18"/>
          <w:color w:val="auto"/>
        </w:rPr>
        <w:t>Executive Vice President and</w:t>
      </w:r>
    </w:p>
    <w:p>
      <w:pP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66"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49" w:lineRule="exact"/>
        <w:rPr>
          <w:sz w:val="20"/>
          <w:szCs w:val="20"/>
          <w:color w:val="auto"/>
        </w:rPr>
      </w:pPr>
    </w:p>
    <w:p>
      <w:pPr>
        <w:ind w:left="420" w:right="340" w:hanging="412"/>
        <w:spacing w:after="0" w:line="282" w:lineRule="auto"/>
        <w:tabs>
          <w:tab w:leader="none" w:pos="4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27, 2022,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u w:val="single" w:color="auto"/>
          <w:color w:val="auto"/>
        </w:rPr>
        <w:t>/s/ Christian P. Cocks</w:t>
      </w:r>
    </w:p>
    <w:p>
      <w:pPr>
        <w:ind w:left="2360"/>
        <w:spacing w:after="0" w:line="203" w:lineRule="auto"/>
        <w:rPr>
          <w:sz w:val="20"/>
          <w:szCs w:val="20"/>
          <w:color w:val="auto"/>
        </w:rPr>
      </w:pPr>
      <w:r>
        <w:rPr>
          <w:rFonts w:ascii="Times New Roman" w:cs="Times New Roman" w:eastAsia="Times New Roman" w:hAnsi="Times New Roman"/>
          <w:sz w:val="18"/>
          <w:szCs w:val="18"/>
          <w:color w:val="auto"/>
        </w:rPr>
        <w:t>Christian P. Cocks</w:t>
      </w:r>
    </w:p>
    <w:p>
      <w:pPr>
        <w:ind w:left="2360"/>
        <w:spacing w:after="0"/>
        <w:rPr>
          <w:sz w:val="20"/>
          <w:szCs w:val="20"/>
          <w:color w:val="auto"/>
        </w:rPr>
      </w:pPr>
      <w:r>
        <w:rPr>
          <w:rFonts w:ascii="Times New Roman" w:cs="Times New Roman" w:eastAsia="Times New Roman" w:hAnsi="Times New Roman"/>
          <w:sz w:val="18"/>
          <w:szCs w:val="18"/>
          <w:color w:val="auto"/>
        </w:rPr>
        <w:t>Chief Executive Officer of Hasbro, Inc.</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2022</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49" w:lineRule="exact"/>
        <w:rPr>
          <w:sz w:val="20"/>
          <w:szCs w:val="20"/>
          <w:color w:val="auto"/>
        </w:rPr>
      </w:pPr>
    </w:p>
    <w:p>
      <w:pPr>
        <w:ind w:left="420" w:right="340" w:hanging="412"/>
        <w:spacing w:after="0" w:line="282" w:lineRule="auto"/>
        <w:tabs>
          <w:tab w:leader="none" w:pos="4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27, 2022,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u w:val="single" w:color="auto"/>
          <w:color w:val="auto"/>
        </w:rPr>
        <w:t>/s/ Deborah Thomas</w:t>
      </w:r>
    </w:p>
    <w:p>
      <w:pPr>
        <w:ind w:left="3100"/>
        <w:spacing w:after="0" w:line="203" w:lineRule="auto"/>
        <w:rPr>
          <w:sz w:val="20"/>
          <w:szCs w:val="20"/>
          <w:color w:val="auto"/>
        </w:rPr>
      </w:pPr>
      <w:r>
        <w:rPr>
          <w:rFonts w:ascii="Times New Roman" w:cs="Times New Roman" w:eastAsia="Times New Roman" w:hAnsi="Times New Roman"/>
          <w:sz w:val="18"/>
          <w:szCs w:val="18"/>
          <w:color w:val="auto"/>
        </w:rPr>
        <w:t>Deborah Thomas</w:t>
      </w:r>
    </w:p>
    <w:p>
      <w:pPr>
        <w:jc w:val="center"/>
        <w:ind w:righ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Hasbro, Inc.</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2022</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1)"/>
      <w:numFmt w:val="decimal"/>
      <w:start w:val="2"/>
    </w:lvl>
  </w:abstractNum>
  <w:abstractNum w:abstractNumId="6">
    <w:nsid w:val="3DC240FB"/>
    <w:multiLevelType w:val="hybridMultilevel"/>
    <w:lvl w:ilvl="0">
      <w:lvlJc w:val="left"/>
      <w:lvlText w:val="(%1)"/>
      <w:numFmt w:val="decimal"/>
      <w:start w:val="3"/>
    </w:lvl>
  </w:abstractNum>
  <w:abstractNum w:abstractNumId="7">
    <w:nsid w:val="1BA026FA"/>
    <w:multiLevelType w:val="hybridMultilevel"/>
    <w:lvl w:ilvl="0">
      <w:lvlJc w:val="left"/>
      <w:lvlText w:val="(%1)"/>
      <w:numFmt w:val="decimal"/>
      <w:start w:val="4"/>
    </w:lvl>
  </w:abstractNum>
  <w:abstractNum w:abstractNumId="8">
    <w:nsid w:val="79A1DEAA"/>
    <w:multiLevelType w:val="hybridMultilevel"/>
    <w:lvl w:ilvl="0">
      <w:lvlJc w:val="left"/>
      <w:lvlText w:val="(%1)"/>
      <w:numFmt w:val="decimal"/>
      <w:start w:val="5"/>
    </w:lvl>
  </w:abstractNum>
  <w:abstractNum w:abstractNumId="9">
    <w:nsid w:val="75C6C33A"/>
    <w:multiLevelType w:val="hybridMultilevel"/>
    <w:lvl w:ilvl="0">
      <w:lvlJc w:val="left"/>
      <w:lvlText w:val="(%1)"/>
      <w:numFmt w:val="decimal"/>
      <w:start w:val="6"/>
    </w:lvl>
  </w:abstractNum>
  <w:abstractNum w:abstractNumId="10">
    <w:nsid w:val="12E685FB"/>
    <w:multiLevelType w:val="hybridMultilevel"/>
    <w:lvl w:ilvl="0">
      <w:lvlJc w:val="left"/>
      <w:lvlText w:val="(%1)"/>
      <w:numFmt w:val="decimal"/>
      <w:start w:val="7"/>
    </w:lvl>
  </w:abstractNum>
  <w:abstractNum w:abstractNumId="11">
    <w:nsid w:val="70C6A529"/>
    <w:multiLevelType w:val="hybridMultilevel"/>
    <w:lvl w:ilvl="0">
      <w:lvlJc w:val="left"/>
      <w:lvlText w:val="(%1)"/>
      <w:numFmt w:val="decimal"/>
      <w:start w:val="1"/>
    </w:lvl>
  </w:abstractNum>
  <w:abstractNum w:abstractNumId="12">
    <w:nsid w:val="520EEDD1"/>
    <w:multiLevelType w:val="hybridMultilevel"/>
    <w:lvl w:ilvl="0">
      <w:lvlJc w:val="left"/>
      <w:lvlText w:val="&amp;"/>
      <w:numFmt w:val="bullet"/>
      <w:start w:val="1"/>
    </w:lvl>
  </w:abstractNum>
  <w:abstractNum w:abstractNumId="13">
    <w:nsid w:val="374A3FE6"/>
    <w:multiLevelType w:val="hybridMultilevel"/>
    <w:lvl w:ilvl="0">
      <w:lvlJc w:val="left"/>
      <w:lvlText w:val="(%1)"/>
      <w:numFmt w:val="decimal"/>
      <w:start w:val="1"/>
    </w:lvl>
  </w:abstractNum>
  <w:abstractNum w:abstractNumId="14">
    <w:nsid w:val="4F4EF005"/>
    <w:multiLevelType w:val="hybridMultilevel"/>
    <w:lvl w:ilvl="0">
      <w:lvlJc w:val="left"/>
      <w:lvlText w:val="(%1)"/>
      <w:numFmt w:val="decimal"/>
      <w:start w:val="1"/>
    </w:lvl>
  </w:abstractNum>
  <w:abstractNum w:abstractNumId="15">
    <w:nsid w:val="23F9C13C"/>
    <w:multiLevelType w:val="hybridMultilevel"/>
    <w:lvl w:ilvl="0">
      <w:lvlJc w:val="left"/>
      <w:lvlText w:val="(%1)"/>
      <w:numFmt w:val="decimal"/>
      <w:start w:val="9"/>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1)"/>
      <w:numFmt w:val="decimal"/>
      <w:start w:val="10"/>
    </w:lvl>
  </w:abstractNum>
  <w:abstractNum w:abstractNumId="18">
    <w:nsid w:val="39386575"/>
    <w:multiLevelType w:val="hybridMultilevel"/>
    <w:lvl w:ilvl="0">
      <w:lvlJc w:val="left"/>
      <w:lvlText w:val="(%1)"/>
      <w:numFmt w:val="decimal"/>
      <w:start w:val="11"/>
    </w:lvl>
  </w:abstractNum>
  <w:abstractNum w:abstractNumId="19">
    <w:nsid w:val="1CF10FD8"/>
    <w:multiLevelType w:val="hybridMultilevel"/>
    <w:lvl w:ilvl="0">
      <w:lvlJc w:val="left"/>
      <w:lvlText w:val="(%1)"/>
      <w:numFmt w:val="decimal"/>
      <w:start w:val="12"/>
    </w:lvl>
  </w:abstractNum>
  <w:abstractNum w:abstractNumId="20">
    <w:nsid w:val="180115BE"/>
    <w:multiLevelType w:val="hybridMultilevel"/>
    <w:lvl w:ilvl="0">
      <w:lvlJc w:val="left"/>
      <w:lvlText w:val="(%1)"/>
      <w:numFmt w:val="decimal"/>
      <w:start w:val="1"/>
    </w:lvl>
  </w:abstractNum>
  <w:abstractNum w:abstractNumId="21">
    <w:nsid w:val="235BA861"/>
    <w:multiLevelType w:val="hybridMultilevel"/>
    <w:lvl w:ilvl="0">
      <w:lvlJc w:val="left"/>
      <w:lvlText w:val="(%1)"/>
      <w:numFmt w:val="decimal"/>
      <w:start w:val="13"/>
    </w:lvl>
  </w:abstractNum>
  <w:abstractNum w:abstractNumId="22">
    <w:nsid w:val="47398C89"/>
    <w:multiLevelType w:val="hybridMultilevel"/>
    <w:lvl w:ilvl="0">
      <w:lvlJc w:val="left"/>
      <w:lvlText w:val="(%1)"/>
      <w:numFmt w:val="lowerLetter"/>
      <w:start w:val="1"/>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1)"/>
      <w:numFmt w:val="decimal"/>
      <w:start w:val="14"/>
    </w:lvl>
  </w:abstractNum>
  <w:abstractNum w:abstractNumId="25">
    <w:nsid w:val="741226BB"/>
    <w:multiLevelType w:val="hybridMultilevel"/>
    <w:lvl w:ilvl="0">
      <w:lvlJc w:val="left"/>
      <w:lvlText w:val="(%1)"/>
      <w:numFmt w:val="decimal"/>
      <w:start w:val="15"/>
    </w:lvl>
  </w:abstractNum>
  <w:abstractNum w:abstractNumId="26">
    <w:nsid w:val="D34B6A8"/>
    <w:multiLevelType w:val="hybridMultilevel"/>
    <w:lvl w:ilvl="0">
      <w:lvlJc w:val="left"/>
      <w:lvlText w:val="•"/>
      <w:numFmt w:val="bullet"/>
      <w:start w:val="1"/>
    </w:lvl>
    <w:lvl w:ilvl="1">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1."/>
      <w:numFmt w:val="decimal"/>
      <w:start w:val="3"/>
    </w:lvl>
  </w:abstractNum>
  <w:abstractNum w:abstractNumId="31">
    <w:nsid w:val="77AE35EB"/>
    <w:multiLevelType w:val="hybridMultilevel"/>
    <w:lvl w:ilvl="0">
      <w:lvlJc w:val="left"/>
      <w:lvlText w:val="%1."/>
      <w:numFmt w:val="decimal"/>
      <w:start w:val="4"/>
    </w:lvl>
  </w:abstractNum>
  <w:abstractNum w:abstractNumId="32">
    <w:nsid w:val="579BE4F1"/>
    <w:multiLevelType w:val="hybridMultilevel"/>
    <w:lvl w:ilvl="0">
      <w:lvlJc w:val="left"/>
      <w:lvlText w:val="%1."/>
      <w:numFmt w:val="decimal"/>
      <w:start w:val="5"/>
    </w:lvl>
  </w:abstractNum>
  <w:abstractNum w:abstractNumId="33">
    <w:nsid w:val="310C50B3"/>
    <w:multiLevelType w:val="hybridMultilevel"/>
    <w:lvl w:ilvl="0">
      <w:lvlJc w:val="left"/>
      <w:lvlText w:val="%1."/>
      <w:numFmt w:val="decimal"/>
      <w:start w:val="6"/>
    </w:lvl>
  </w:abstractNum>
  <w:abstractNum w:abstractNumId="34">
    <w:nsid w:val="5FF87E05"/>
    <w:multiLevelType w:val="hybridMultilevel"/>
    <w:lvl w:ilvl="0">
      <w:lvlJc w:val="left"/>
      <w:lvlText w:val="(%1)"/>
      <w:numFmt w:val="lowerLetter"/>
      <w:start w:val="1"/>
    </w:lvl>
  </w:abstractNum>
  <w:abstractNum w:abstractNumId="35">
    <w:nsid w:val="2F305DEF"/>
    <w:multiLevelType w:val="hybridMultilevel"/>
    <w:lvl w:ilvl="0">
      <w:lvlJc w:val="left"/>
      <w:lvlText w:val="(%1)"/>
      <w:numFmt w:val="lowerLetter"/>
      <w:start w:val="4"/>
    </w:lvl>
  </w:abstractNum>
  <w:abstractNum w:abstractNumId="36">
    <w:nsid w:val="25A70BF7"/>
    <w:multiLevelType w:val="hybridMultilevel"/>
    <w:lvl w:ilvl="0">
      <w:lvlJc w:val="left"/>
      <w:lvlText w:val="%1"/>
      <w:numFmt w:val="lowerLetter"/>
      <w:start w:val="1"/>
    </w:lvl>
    <w:lvl w:ilvl="1">
      <w:lvlJc w:val="left"/>
      <w:lvlText w:val="(%2)"/>
      <w:numFmt w:val="lowerLetter"/>
      <w:start w:val="1"/>
    </w:lvl>
  </w:abstractNum>
  <w:abstractNum w:abstractNumId="37">
    <w:nsid w:val="1DBABF00"/>
    <w:multiLevelType w:val="hybridMultilevel"/>
    <w:lvl w:ilvl="0">
      <w:lvlJc w:val="left"/>
      <w:lvlText w:val="(%1)"/>
      <w:numFmt w:val="lowerLetter"/>
      <w:start w:val="9"/>
    </w:lvl>
    <w:lvl w:ilvl="1">
      <w:lvlJc w:val="left"/>
      <w:lvlText w:val="%2"/>
      <w:numFmt w:val="lowerLetter"/>
      <w:start w:val="1"/>
    </w:lvl>
  </w:abstractNum>
  <w:abstractNum w:abstractNumId="38">
    <w:nsid w:val="4AD084E9"/>
    <w:multiLevelType w:val="hybridMultilevel"/>
    <w:lvl w:ilvl="0">
      <w:lvlJc w:val="left"/>
      <w:lvlText w:val="(%1)"/>
      <w:numFmt w:val="lowerLetter"/>
      <w:start w:val="2"/>
    </w:lvl>
  </w:abstractNum>
  <w:abstractNum w:abstractNumId="39">
    <w:nsid w:val="1F48EAA1"/>
    <w:multiLevelType w:val="hybridMultilevel"/>
    <w:lvl w:ilvl="0">
      <w:lvlJc w:val="left"/>
      <w:lvlText w:val="%1."/>
      <w:numFmt w:val="decimal"/>
      <w:start w:val="7"/>
    </w:lvl>
  </w:abstractNum>
  <w:abstractNum w:abstractNumId="40">
    <w:nsid w:val="1381823A"/>
    <w:multiLevelType w:val="hybridMultilevel"/>
    <w:lvl w:ilvl="0">
      <w:lvlJc w:val="left"/>
      <w:lvlText w:val="(%1)"/>
      <w:numFmt w:val="lowerRoman"/>
      <w:start w:val="1"/>
    </w:lvl>
  </w:abstractNum>
  <w:abstractNum w:abstractNumId="41">
    <w:nsid w:val="5DB70AE5"/>
    <w:multiLevelType w:val="hybridMultilevel"/>
    <w:lvl w:ilvl="0">
      <w:lvlJc w:val="left"/>
      <w:lvlText w:val="(%1)"/>
      <w:numFmt w:val="upperLetter"/>
      <w:start w:val="61"/>
    </w:lvl>
  </w:abstractNum>
  <w:abstractNum w:abstractNumId="42">
    <w:nsid w:val="100F8FCA"/>
    <w:multiLevelType w:val="hybridMultilevel"/>
    <w:lvl w:ilvl="0">
      <w:lvlJc w:val="left"/>
      <w:lvlText w:val="%1."/>
      <w:numFmt w:val="decimal"/>
      <w:start w:val="9"/>
    </w:lvl>
  </w:abstractNum>
  <w:abstractNum w:abstractNumId="43">
    <w:nsid w:val="6590700B"/>
    <w:multiLevelType w:val="hybridMultilevel"/>
    <w:lvl w:ilvl="0">
      <w:lvlJc w:val="left"/>
      <w:lvlText w:val="%1."/>
      <w:numFmt w:val="decimal"/>
      <w:start w:val="10"/>
    </w:lvl>
  </w:abstractNum>
  <w:abstractNum w:abstractNumId="44">
    <w:nsid w:val="15014ACB"/>
    <w:multiLevelType w:val="hybridMultilevel"/>
    <w:lvl w:ilvl="0">
      <w:lvlJc w:val="left"/>
      <w:lvlText w:val="(%1)"/>
      <w:numFmt w:val="lowerLetter"/>
      <w:start w:val="2"/>
    </w:lvl>
  </w:abstractNum>
  <w:abstractNum w:abstractNumId="45">
    <w:nsid w:val="5F5E7FD0"/>
    <w:multiLevelType w:val="hybridMultilevel"/>
    <w:lvl w:ilvl="0">
      <w:lvlJc w:val="left"/>
      <w:lvlText w:val="%1."/>
      <w:numFmt w:val="decimal"/>
      <w:start w:val="12"/>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1."/>
      <w:numFmt w:val="decimal"/>
      <w:start w:val="5"/>
    </w:lvl>
  </w:abstractNum>
  <w:abstractNum w:abstractNumId="48">
    <w:nsid w:val="6B94764"/>
    <w:multiLevelType w:val="hybridMultilevel"/>
    <w:lvl w:ilvl="0">
      <w:lvlJc w:val="left"/>
      <w:lvlText w:val="%1."/>
      <w:numFmt w:val="decimal"/>
      <w:start w:val="8"/>
    </w:lvl>
    <w:lvl w:ilvl="1">
      <w:lvlJc w:val="left"/>
      <w:lvlText w:val="%2."/>
      <w:numFmt w:val="lowerLetter"/>
      <w:start w:val="1"/>
    </w:lvl>
  </w:abstractNum>
  <w:abstractNum w:abstractNumId="49">
    <w:nsid w:val="42C296BD"/>
    <w:multiLevelType w:val="hybridMultilevel"/>
    <w:lvl w:ilvl="0">
      <w:lvlJc w:val="left"/>
      <w:lvlText w:val="%1"/>
      <w:numFmt w:val="decimal"/>
      <w:start w:val="1"/>
    </w:lvl>
    <w:lvl w:ilvl="1">
      <w:lvlJc w:val="left"/>
      <w:lvlText w:val="%2."/>
      <w:numFmt w:val="lowerLetter"/>
      <w:start w:val="3"/>
    </w:lvl>
  </w:abstractNum>
  <w:abstractNum w:abstractNumId="50">
    <w:nsid w:val="168E121F"/>
    <w:multiLevelType w:val="hybridMultilevel"/>
    <w:lvl w:ilvl="0">
      <w:lvlJc w:val="left"/>
      <w:lvlText w:val="%1."/>
      <w:numFmt w:val="decimal"/>
      <w:start w:val="9"/>
    </w:lvl>
    <w:lvl w:ilvl="1">
      <w:lvlJc w:val="left"/>
      <w:lvlText w:val="%2"/>
      <w:numFmt w:val="lowerLetter"/>
      <w:start w:val="1"/>
    </w:lvl>
  </w:abstractNum>
  <w:abstractNum w:abstractNumId="51">
    <w:nsid w:val="1EBA5D23"/>
    <w:multiLevelType w:val="hybridMultilevel"/>
    <w:lvl w:ilvl="0">
      <w:lvlJc w:val="left"/>
      <w:lvlText w:val="%1."/>
      <w:numFmt w:val="decimal"/>
      <w:start w:val="13"/>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decimal"/>
      <w:start w:val="2"/>
    </w:lvl>
    <w:lvl w:ilvl="1">
      <w:lvlJc w:val="left"/>
      <w:lvlText w:val="%2."/>
      <w:numFmt w:val="decimal"/>
      <w:start w:val="3"/>
    </w:lvl>
  </w:abstractNum>
  <w:abstractNum w:abstractNumId="54">
    <w:nsid w:val="540A471C"/>
    <w:multiLevelType w:val="hybridMultilevel"/>
    <w:lvl w:ilvl="0">
      <w:lvlJc w:val="left"/>
      <w:lvlText w:val="%1."/>
      <w:numFmt w:val="decimal"/>
      <w:start w:val="4"/>
    </w:lvl>
  </w:abstractNum>
  <w:abstractNum w:abstractNumId="55">
    <w:nsid w:val="7BD3EE7B"/>
    <w:multiLevelType w:val="hybridMultilevel"/>
    <w:lvl w:ilvl="0">
      <w:lvlJc w:val="left"/>
      <w:lvlText w:val="(%1)"/>
      <w:numFmt w:val="decimal"/>
      <w:start w:val="6"/>
    </w:lvl>
  </w:abstractNum>
  <w:abstractNum w:abstractNumId="56">
    <w:nsid w:val="51D9C564"/>
    <w:multiLevelType w:val="hybridMultilevel"/>
    <w:lvl w:ilvl="0">
      <w:lvlJc w:val="left"/>
      <w:lvlText w:val="%1."/>
      <w:numFmt w:val="decimal"/>
      <w:start w:val="5"/>
    </w:lvl>
    <w:lvl w:ilvl="1">
      <w:lvlJc w:val="left"/>
      <w:lvlText w:val="(%2)"/>
      <w:numFmt w:val="lowerLetter"/>
      <w:start w:val="2"/>
    </w:lvl>
    <w:lvl w:ilvl="2">
      <w:lvlJc w:val="left"/>
      <w:lvlText w:val="(%3)"/>
      <w:numFmt w:val="lowerLetter"/>
      <w:start w:val="3"/>
    </w:lvl>
  </w:abstractNum>
  <w:abstractNum w:abstractNumId="57">
    <w:nsid w:val="613EFDC5"/>
    <w:multiLevelType w:val="hybridMultilevel"/>
    <w:lvl w:ilvl="0">
      <w:lvlJc w:val="left"/>
      <w:lvlText w:val="*"/>
      <w:numFmt w:val="bullet"/>
      <w:start w:val="1"/>
    </w:lvl>
    <w:lvl w:ilvl="1">
      <w:lvlJc w:val="left"/>
      <w:lvlText w:val="(%2)"/>
      <w:numFmt w:val="lowerLetter"/>
      <w:start w:val="4"/>
    </w:lvl>
  </w:abstractNum>
  <w:abstractNum w:abstractNumId="58">
    <w:nsid w:val="BF72B14"/>
    <w:multiLevelType w:val="hybridMultilevel"/>
    <w:lvl w:ilvl="0">
      <w:lvlJc w:val="left"/>
      <w:lvlText w:val="%1."/>
      <w:numFmt w:val="decimal"/>
      <w:start w:val="6"/>
    </w:lvl>
    <w:lvl w:ilvl="1">
      <w:lvlJc w:val="left"/>
      <w:lvlText w:val="%2."/>
      <w:numFmt w:val="decimal"/>
      <w:start w:val="8"/>
    </w:lvl>
    <w:lvl w:ilvl="2">
      <w:lvlJc w:val="left"/>
      <w:lvlText w:val="%3."/>
      <w:numFmt w:val="decimal"/>
      <w:start w:val="9"/>
    </w:lvl>
  </w:abstractNum>
  <w:abstractNum w:abstractNumId="59">
    <w:nsid w:val="11447B73"/>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4"/>
    </w:lvl>
    <w:lvl w:ilvl="3">
      <w:lvlJc w:val="left"/>
      <w:lvlText w:val="%4"/>
      <w:numFmt w:val="upperLetter"/>
      <w:start w:val="1"/>
    </w:lvl>
  </w:abstractNum>
  <w:abstractNum w:abstractNumId="60">
    <w:nsid w:val="42963E5A"/>
    <w:multiLevelType w:val="hybridMultilevel"/>
    <w:lvl w:ilvl="0">
      <w:lvlJc w:val="left"/>
      <w:lvlText w:val="%1."/>
      <w:numFmt w:val="upperLetter"/>
      <w:start w:val="7"/>
    </w:lvl>
  </w:abstractNum>
  <w:abstractNum w:abstractNumId="61">
    <w:nsid w:val="A0382C5"/>
    <w:multiLevelType w:val="hybridMultilevel"/>
    <w:lvl w:ilvl="0">
      <w:lvlJc w:val="left"/>
      <w:lvlText w:val="%1."/>
      <w:numFmt w:val="decimal"/>
      <w:start w:val="2"/>
    </w:lvl>
  </w:abstractNum>
  <w:abstractNum w:abstractNumId="62">
    <w:nsid w:val="8F2B15E"/>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4"/>
    </w:lvl>
  </w:abstractNum>
  <w:abstractNum w:abstractNumId="63">
    <w:nsid w:val="1A32234B"/>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abstractNum>
  <w:abstractNum w:abstractNumId="64">
    <w:nsid w:val="3B0FD379"/>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4"/>
    </w:lvl>
  </w:abstractNum>
  <w:abstractNum w:abstractNumId="65">
    <w:nsid w:val="68EB2F63"/>
    <w:multiLevelType w:val="hybridMultilevel"/>
    <w:lvl w:ilvl="0">
      <w:lvlJc w:val="left"/>
      <w:lvlText w:val="%1"/>
      <w:numFmt w:val="decimal"/>
      <w:start w:val="1"/>
    </w:lvl>
    <w:lvl w:ilvl="1">
      <w:lvlJc w:val="left"/>
      <w:lvlText w:val="%2."/>
      <w:numFmt w:val="upperLetter"/>
      <w:start w:val="5"/>
    </w:lvl>
  </w:abstractNum>
  <w:abstractNum w:abstractNumId="66">
    <w:nsid w:val="4962813B"/>
    <w:multiLevelType w:val="hybridMultilevel"/>
    <w:lvl w:ilvl="0">
      <w:lvlJc w:val="left"/>
      <w:lvlText w:val="%1."/>
      <w:numFmt w:val="decimal"/>
      <w:start w:val="8"/>
    </w:lvl>
    <w:lvl w:ilvl="1">
      <w:lvlJc w:val="left"/>
      <w:lvlText w:val="%2"/>
      <w:numFmt w:val="upperLetter"/>
      <w:start w:val="1"/>
    </w:lvl>
  </w:abstractNum>
  <w:abstractNum w:abstractNumId="67">
    <w:nsid w:val="60B6DF70"/>
    <w:multiLevelType w:val="hybridMultilevel"/>
    <w:lvl w:ilvl="0">
      <w:lvlJc w:val="left"/>
      <w:lvlText w:val="%1."/>
      <w:numFmt w:val="decimal"/>
      <w:start w:val="14"/>
    </w:lvl>
  </w:abstractNum>
  <w:abstractNum w:abstractNumId="68">
    <w:nsid w:val="6A5EE64"/>
    <w:multiLevelType w:val="hybridMultilevel"/>
    <w:lvl w:ilvl="0">
      <w:lvlJc w:val="left"/>
      <w:lvlText w:val="%1."/>
      <w:numFmt w:val="decimal"/>
      <w:start w:val="1"/>
    </w:lvl>
    <w:lvl w:ilvl="1">
      <w:lvlJc w:val="left"/>
      <w:lvlText w:val="%2."/>
      <w:numFmt w:val="decimal"/>
      <w:start w:val="2"/>
    </w:lvl>
  </w:abstractNum>
  <w:abstractNum w:abstractNumId="69">
    <w:nsid w:val="14330624"/>
    <w:multiLevelType w:val="hybridMultilevel"/>
    <w:lvl w:ilvl="0">
      <w:lvlJc w:val="left"/>
      <w:lvlText w:val="%1."/>
      <w:numFmt w:val="decimal"/>
      <w:start w:val="3"/>
    </w:lvl>
  </w:abstractNum>
  <w:abstractNum w:abstractNumId="70">
    <w:nsid w:val="7FFFCA11"/>
    <w:multiLevelType w:val="hybridMultilevel"/>
    <w:lvl w:ilvl="0">
      <w:lvlJc w:val="left"/>
      <w:lvlText w:val="%1."/>
      <w:numFmt w:val="decimal"/>
      <w:start w:val="4"/>
    </w:lvl>
    <w:lvl w:ilvl="1">
      <w:lvlJc w:val="left"/>
      <w:lvlText w:val="%2."/>
      <w:numFmt w:val="decimal"/>
      <w:start w:val="5"/>
    </w:lvl>
  </w:abstractNum>
  <w:abstractNum w:abstractNumId="71">
    <w:nsid w:val="1A27709E"/>
    <w:multiLevelType w:val="hybridMultilevel"/>
    <w:lvl w:ilvl="0">
      <w:lvlJc w:val="left"/>
      <w:lvlText w:val="%1"/>
      <w:numFmt w:val="decimal"/>
      <w:start w:val="1"/>
    </w:lvl>
    <w:lvl w:ilvl="1">
      <w:lvlJc w:val="left"/>
      <w:lvlText w:val="%2."/>
      <w:numFmt w:val="decimal"/>
      <w:start w:val="6"/>
    </w:lvl>
  </w:abstractNum>
  <w:abstractNum w:abstractNumId="72">
    <w:nsid w:val="71EA1109"/>
    <w:multiLevelType w:val="hybridMultilevel"/>
    <w:lvl w:ilvl="0">
      <w:lvlJc w:val="left"/>
      <w:lvlText w:val="%1."/>
      <w:numFmt w:val="decimal"/>
      <w:start w:val="7"/>
    </w:lvl>
    <w:lvl w:ilvl="1">
      <w:lvlJc w:val="left"/>
      <w:lvlText w:val="%2"/>
      <w:numFmt w:val="decimal"/>
      <w:start w:val="1"/>
    </w:lvl>
  </w:abstractNum>
  <w:abstractNum w:abstractNumId="73">
    <w:nsid w:val="100F59DC"/>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74">
    <w:nsid w:val="7FB7E0AA"/>
    <w:multiLevelType w:val="hybridMultilevel"/>
    <w:lvl w:ilvl="0">
      <w:lvlJc w:val="left"/>
      <w:lvlText w:val="%1."/>
      <w:numFmt w:val="decimal"/>
      <w:start w:val="9"/>
    </w:lvl>
    <w:lvl w:ilvl="1">
      <w:lvlJc w:val="left"/>
      <w:lvlText w:val="%2"/>
      <w:numFmt w:val="decimal"/>
      <w:start w:val="1"/>
    </w:lvl>
    <w:lvl w:ilvl="2">
      <w:lvlJc w:val="left"/>
      <w:lvlText w:val="(%3)"/>
      <w:numFmt w:val="lowerLetter"/>
      <w:start w:val="2"/>
    </w:lvl>
  </w:abstractNum>
  <w:abstractNum w:abstractNumId="75">
    <w:nsid w:val="6EB5BD4"/>
    <w:multiLevelType w:val="hybridMultilevel"/>
    <w:lvl w:ilvl="0">
      <w:lvlJc w:val="left"/>
      <w:lvlText w:val="(%1)"/>
      <w:numFmt w:val="lowerLetter"/>
      <w:start w:val="3"/>
    </w:lvl>
  </w:abstractNum>
  <w:abstractNum w:abstractNumId="76">
    <w:nsid w:val="6F6DD9AC"/>
    <w:multiLevelType w:val="hybridMultilevel"/>
    <w:lvl w:ilvl="0">
      <w:lvlJc w:val="left"/>
      <w:lvlText w:val="%1."/>
      <w:numFmt w:val="decimal"/>
      <w:start w:val="9"/>
    </w:lvl>
    <w:lvl w:ilvl="1">
      <w:lvlJc w:val="left"/>
      <w:lvlText w:val="*"/>
      <w:numFmt w:val="bullet"/>
      <w:start w:val="1"/>
    </w:lvl>
  </w:abstractNum>
  <w:abstractNum w:abstractNumId="77">
    <w:nsid w:val="94211F2"/>
    <w:multiLevelType w:val="hybridMultilevel"/>
    <w:lvl w:ilvl="0">
      <w:lvlJc w:val="left"/>
      <w:lvlText w:val="%1"/>
      <w:numFmt w:val="decimal"/>
      <w:start w:val="1"/>
    </w:lvl>
    <w:lvl w:ilvl="1">
      <w:lvlJc w:val="left"/>
      <w:lvlText w:val="%2."/>
      <w:numFmt w:val="decimal"/>
      <w:start w:val="12"/>
    </w:lvl>
    <w:lvl w:ilvl="2">
      <w:lvlJc w:val="left"/>
      <w:lvlText w:val="%3"/>
      <w:numFmt w:val="decimal"/>
      <w:start w:val="1"/>
    </w:lvl>
    <w:lvl w:ilvl="3">
      <w:lvlJc w:val="left"/>
      <w:lvlText w:val="%4"/>
      <w:numFmt w:val="decimal"/>
      <w:start w:val="1"/>
    </w:lvl>
  </w:abstractNum>
  <w:abstractNum w:abstractNumId="78">
    <w:nsid w:val="885E1B"/>
    <w:multiLevelType w:val="hybridMultilevel"/>
    <w:lvl w:ilvl="0">
      <w:lvlJc w:val="left"/>
      <w:lvlText w:val="%1."/>
      <w:numFmt w:val="decimal"/>
      <w:start w:val="13"/>
    </w:lvl>
    <w:lvl w:ilvl="1">
      <w:lvlJc w:val="left"/>
      <w:lvlText w:val="%2."/>
      <w:numFmt w:val="decimal"/>
      <w:start w:val="14"/>
    </w:lvl>
    <w:lvl w:ilvl="2">
      <w:lvlJc w:val="left"/>
      <w:lvlText w:val="%3."/>
      <w:numFmt w:val="decimal"/>
      <w:start w:val="15"/>
    </w:lvl>
    <w:lvl w:ilvl="3">
      <w:lvlJc w:val="left"/>
      <w:lvlText w:val="%4."/>
      <w:numFmt w:val="decimal"/>
      <w:start w:val="15"/>
    </w:lvl>
  </w:abstractNum>
  <w:abstractNum w:abstractNumId="79">
    <w:nsid w:val="76272110"/>
    <w:multiLevelType w:val="hybridMultilevel"/>
    <w:lvl w:ilvl="0">
      <w:lvlJc w:val="left"/>
      <w:lvlText w:val="(%1)"/>
      <w:numFmt w:val="lowerRoman"/>
      <w:start w:val="1"/>
    </w:lvl>
  </w:abstractNum>
  <w:abstractNum w:abstractNumId="80">
    <w:nsid w:val="4C04A8AF"/>
    <w:multiLevelType w:val="hybridMultilevel"/>
    <w:lvl w:ilvl="0">
      <w:lvlJc w:val="left"/>
      <w:lvlText w:val="(%1)"/>
      <w:numFmt w:val="lowerRoman"/>
      <w:start w:val="7"/>
    </w:lvl>
  </w:abstractNum>
  <w:abstractNum w:abstractNumId="81">
    <w:nsid w:val="1716703B"/>
    <w:multiLevelType w:val="hybridMultilevel"/>
    <w:lvl w:ilvl="0">
      <w:lvlJc w:val="left"/>
      <w:lvlText w:val="(%1)"/>
      <w:numFmt w:val="lowerRoman"/>
      <w:start w:val="9"/>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jpe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80" Type="http://schemas.openxmlformats.org/officeDocument/2006/relationships/hyperlink" Target="http://www.sec.gov/Archives/edgar/data/46080/000004608000000013/0000046080-00-000013-0002.txt" TargetMode="External"/><Relationship Id="rId81" Type="http://schemas.openxmlformats.org/officeDocument/2006/relationships/hyperlink" Target="http://www.sec.gov/Archives/edgar/data/46080/000004608000000013/0000046080-00-000013-0005.txt" TargetMode="External"/><Relationship Id="rId82" Type="http://schemas.openxmlformats.org/officeDocument/2006/relationships/hyperlink" Target="http://www.sec.gov/Archives/edgar/data/46080/000004608003000022/ex3-3q203.htm" TargetMode="External"/><Relationship Id="rId83" Type="http://schemas.openxmlformats.org/officeDocument/2006/relationships/hyperlink" Target="http://www.sec.gov/Archives/edgar/data/46080/000095013507001259/b63637hoexv3wxdy.txt" TargetMode="External"/><Relationship Id="rId84" Type="http://schemas.openxmlformats.org/officeDocument/2006/relationships/hyperlink" Target="http://www.sec.gov/Archives/edgar/data/46080/000004608014000081/exhibit31.htm" TargetMode="External"/><Relationship Id="rId85" Type="http://schemas.openxmlformats.org/officeDocument/2006/relationships/hyperlink" Target="http://www.sec.gov/Archives/edgar/data/46080/000004608015000093/exhibit31.htm" TargetMode="External"/><Relationship Id="rId86" Type="http://schemas.openxmlformats.org/officeDocument/2006/relationships/hyperlink" Target="http://www.sec.gov/Archives/edgar/data/46080/000004608015000101/exhibit31.htm" TargetMode="External"/><Relationship Id="rId87" Type="http://schemas.openxmlformats.org/officeDocument/2006/relationships/hyperlink" Target="http://www.sec.gov/Archives/edgar/data/46080/000004608000000013/0000046080-00-000013-0003.txt" TargetMode="External"/><Relationship Id="rId88" Type="http://schemas.openxmlformats.org/officeDocument/2006/relationships/hyperlink" Target="http://www.sec.gov/Archives/edgar/data/46080/000004608000000013/0000046080-00-000013-0004.txt" TargetMode="External"/><Relationship Id="rId89" Type="http://schemas.openxmlformats.org/officeDocument/2006/relationships/hyperlink" Target="http://www.sec.gov/Archives/edgar/data/46080/0000950172-98-000702.txt" TargetMode="External"/><Relationship Id="rId90" Type="http://schemas.openxmlformats.org/officeDocument/2006/relationships/hyperlink" Target="http://www.sec.gov/Archives/edgar/data/46080/000004608000000003/0000046080-00-000003.txt" TargetMode="External"/><Relationship Id="rId91" Type="http://schemas.openxmlformats.org/officeDocument/2006/relationships/hyperlink" Target="http://www.sec.gov/Archives/edgar/data/46080/000095013507005709/b66906hbexv4w1.htm" TargetMode="External"/><Relationship Id="rId92" Type="http://schemas.openxmlformats.org/officeDocument/2006/relationships/hyperlink" Target="http://www.sec.gov/Archives/edgar/data/46080/000095013509003948/b75462hiexv4w1.htm" TargetMode="External"/><Relationship Id="rId93" Type="http://schemas.openxmlformats.org/officeDocument/2006/relationships/hyperlink" Target="http://www.sec.gov/Archives/edgar/data/46080/000095012310023420/b80058exv4w1.htm" TargetMode="External"/><Relationship Id="rId94" Type="http://schemas.openxmlformats.org/officeDocument/2006/relationships/hyperlink" Target="http://www.sec.gov/Archives/edgar/data/46080/000119312514196726/d727293dex41.htm" TargetMode="External"/><Relationship Id="rId95" Type="http://schemas.openxmlformats.org/officeDocument/2006/relationships/hyperlink" Target="http://www.sec.gov/Archives/edgar/data/46080/000119312517283854/d456734dex41.htm" TargetMode="External"/><Relationship Id="rId96" Type="http://schemas.openxmlformats.org/officeDocument/2006/relationships/hyperlink" Target="http://www.sec.gov/Archives/edgar/data/46080/000119312519295544/d822953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2022-04-27T14:56:54Z</dcterms:created>
  <dcterms:modified xsi:type="dcterms:W3CDTF">2022-04-27T14:56:54Z</dcterms:modified>
</cp:coreProperties>
</file>